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22 января 2021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Стратегия развития Общества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/>
            <w:r>
              <w:rPr/>
              <w:t xml:space="preserve">Стратегия развития химической промышленности до 2025 года с учетом долгосрочного прогноза (далее - Стратегия) разработана в соответствии с Указами Президента Республики Узбекистан от 17.01.2019 г. №У11-5635 «О Государственной программе по реализации Стратегии действий по 5 приоритетным направлениям развития Республики Узбекистан в 2017-2021 годах в «Год активных инвестиций и социального развития» и от 08.01.2019 г. №УП- 5614 «О дополнительных мерах по обеспечению дальнейшего развития экономики и повышению эффективности экономической политики».</w:t>
            </w:r>
          </w:p>
          <w:p>
            <w:pPr/>
            <w:hyperlink r:id="rId7" w:history="1">
              <w:r>
                <w:rPr/>
                <w:t xml:space="preserve">Скачать стратегию развития АО "Узкимёсаноат" до 2025 года</w:t>
              </w:r>
            </w:hyperlink>
          </w:p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https://new.uzkimyosanoat.uz/ru/corporate/disclosure/development-strategy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