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28 мая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Объявление по принципу «comply or explain» («соблюдай или объясняй»)</w:t>
      </w:r>
    </w:p>
    <w:bookmarkEnd w:id="0"/>
    <w:p w14:paraId="522BF26F" w14:textId="3F0F523B" w:rsidR="00A048F3" w:rsidRDefault="00A048F3">
      <w:pPr>
        <w:rPr>
          <w:sz w:val="28"/>
          <w:szCs w:val="28"/>
          <w:lang w:val="ru-RU"/>
        </w:rPr>
      </w:pPr>
    </w:p>
    <w:tbl>
      <w:tblGrid>
        <w:gridCol/>
      </w:tblGrid>
      <w:tr>
        <w:trPr/>
        <w:tc>
          <w:tcPr>
            <w:noWrap/>
          </w:tcPr>
          <w:tbl>
            <w:tblGrid>
              <w:gridCol w:w="2500" w:type="dxa"/>
              <w:gridCol/>
            </w:tblGrid>
            <w:tblPr>
              <w:tblW w:w="0" w:type="auto"/>
              <w:tblLayout w:type="autofit"/>
            </w:tblPr>
            <w:tr>
              <w:trPr/>
              <w:tc>
                <w:tcPr>
                  <w:tcW w:w="2500" w:type="pct"/>
                  <w:noWrap/>
                </w:tcPr>
                <w:p>
                  <w:pPr>
                    <w:jc w:val="center"/>
                  </w:pPr>
                  <w:r>
                    <w:rPr>
                      <w:b w:val="1"/>
                      <w:bCs w:val="1"/>
                    </w:rPr>
                    <w:t xml:space="preserve">Выявленные несоблюдения рекомендациям Кодекса</w:t>
                  </w:r>
                </w:p>
              </w:tc>
              <w:tc>
                <w:tcPr>
                  <w:noWrap/>
                </w:tcPr>
                <w:p>
                  <w:pPr>
                    <w:jc w:val="center"/>
                  </w:pPr>
                  <w:r>
                    <w:rPr>
                      <w:b w:val="1"/>
                      <w:bCs w:val="1"/>
                    </w:rPr>
                    <w:t xml:space="preserve">Объяснения</w:t>
                  </w:r>
                </w:p>
              </w:tc>
            </w:tr>
            <w:tr>
              <w:trPr/>
              <w:tc>
                <w:tcPr>
                  <w:gridSpan w:val="2"/>
                  <w:noWrap/>
                </w:tcPr>
                <w:p>
                  <w:pPr>
                    <w:jc w:val="center"/>
                  </w:pPr>
                  <w:r>
                    <w:rPr>
                      <w:b w:val="1"/>
                      <w:bCs w:val="1"/>
                    </w:rPr>
                    <w:t xml:space="preserve">Оценка конкурсного отбора</w:t>
                  </w:r>
                </w:p>
              </w:tc>
            </w:tr>
            <w:tr>
              <w:trPr/>
              <w:tc>
                <w:tcPr>
                  <w:noWrap/>
                </w:tcPr>
                <w:p>
                  <w:pPr/>
                  <w:r>
                    <w:rPr/>
                    <w:t xml:space="preserve">Отсутствует регламент по проведению конкурсного отбора руководителя и членов исполнительного органа.</w:t>
                  </w:r>
                </w:p>
              </w:tc>
              <w:tc>
                <w:tcPr>
                  <w:noWrap/>
                </w:tcPr>
                <w:p>
                  <w:pPr/>
                  <w:r>
                    <w:rPr/>
                    <w:t xml:space="preserve">На данный момент разрабатывается внутренние документы, Регламент отбора кандидатур в исполнительный орган.</w:t>
                  </w:r>
                </w:p>
              </w:tc>
            </w:tr>
            <w:tr>
              <w:trPr/>
              <w:tc>
                <w:tcPr>
                  <w:gridSpan w:val="2"/>
                  <w:noWrap/>
                </w:tcPr>
                <w:p>
                  <w:pPr>
                    <w:jc w:val="center"/>
                  </w:pPr>
                  <w:r>
                    <w:rPr>
                      <w:b w:val="1"/>
                      <w:bCs w:val="1"/>
                    </w:rPr>
                    <w:t xml:space="preserve">Оценка соблюдения рекомендациям Кодекса корпоративного управления</w:t>
                  </w:r>
                </w:p>
              </w:tc>
            </w:tr>
            <w:tr>
              <w:trPr/>
              <w:tc>
                <w:tcPr>
                  <w:noWrap/>
                </w:tcPr>
                <w:p>
                  <w:pPr/>
                  <w:r>
                    <w:rPr/>
                    <w:t xml:space="preserve">Введение независимых членов в наблюдательный совет.</w:t>
                  </w:r>
                </w:p>
              </w:tc>
              <w:tc>
                <w:tcPr>
                  <w:noWrap/>
                </w:tcPr>
                <w:p>
                  <w:pPr/>
                  <w:r>
                    <w:rPr/>
                    <w:t xml:space="preserve">В соответствии с Указом Президента Республики Узбекистан от 27.10.2020 г. № УП-6096 и постановлением Кабинета Министров Республики Узбекистан вносятся изменения во внутренние документы по укомплектованию квалифицированными международными специалистами не менее 30 процентов состава наблюдательного совета путем активного привлечения зарубежных специалистов данной сферы (в том числе из числа соотечественников) в наблюдательный совет на основе международного конкурса. Также была разработана тендерная документация на привлечение независимых членов в Наблюдательный совет общества, в частности техническое задание и внесено единственному акционеру.</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https://new.uzkimyosanoat.uz/ru/corporate/announcement/comply-or-explain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