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НПК</w:t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Описание:</w:t>
            </w:r>
            <w:br/>
            <w:r>
              <w:rPr/>
              <w:t xml:space="preserve">Сложные удобрения с азотом, фосфором и калием.</w:t>
            </w:r>
          </w:p>
          <w:p>
            <w:pPr/>
            <w:r>
              <w:rPr>
                <w:b w:val="1"/>
                <w:bCs w:val="1"/>
              </w:rPr>
              <w:t xml:space="preserve">2. Технические характеристики:</w:t>
            </w:r>
            <w:br/>
            <w:r>
              <w:rPr/>
              <w:t xml:space="preserve">Например: 15-15-15, 16-16-16 и др.</w:t>
            </w:r>
          </w:p>
          <w:p>
            <w:pPr/>
            <w:r>
              <w:rPr>
                <w:b w:val="1"/>
                <w:bCs w:val="1"/>
              </w:rPr>
              <w:t xml:space="preserve">3. Химический состав:</w:t>
            </w:r>
            <w:br/>
            <w:r>
              <w:rPr/>
              <w:t xml:space="preserve">Смеси NH₄NO₃, NH₄H₂PO₄, KCl/K₂SO₄ и др.</w:t>
            </w:r>
          </w:p>
          <w:p>
            <w:pPr/>
            <w:r>
              <w:rPr>
                <w:b w:val="1"/>
                <w:bCs w:val="1"/>
              </w:rPr>
              <w:t xml:space="preserve">4. Форма выпуска:</w:t>
            </w:r>
            <w:br/>
            <w:r>
              <w:rPr/>
              <w:t xml:space="preserve">Гранулы</w:t>
            </w:r>
          </w:p>
          <w:p>
            <w:pPr/>
            <w:r>
              <w:rPr>
                <w:b w:val="1"/>
                <w:bCs w:val="1"/>
              </w:rPr>
              <w:t xml:space="preserve">5. Применение:</w:t>
            </w:r>
            <w:br/>
            <w:r>
              <w:rPr/>
              <w:t xml:space="preserve">Универсальное удобрение для всех культур.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https://new.uzkimyosanoat.uz/ru/company/product/mineral-fertilizers/npk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