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января 2013 года</w:t>
      </w:r>
    </w:p>
    <w:p w14:paraId="65A7E376" w14:textId="29A957ED" w:rsidR="004D4932" w:rsidRPr="00A048F3" w:rsidRDefault="00A048F3" w:rsidP="00AD52D5">
      <w:pPr>
        <w:rPr>
          <w:b/>
          <w:sz w:val="32"/>
          <w:szCs w:val="28"/>
          <w:lang w:val="en-US"/>
        </w:rPr>
      </w:pPr>
      <w:bookmarkStart w:id="0" w:name="_GoBack"/>
      <w:r>
        <w:rPr>
          <w:b/>
          <w:sz w:val="32"/>
          <w:szCs w:val="28"/>
          <w:lang w:val="en-US"/>
        </w:rPr>
        <w:t>Акционерное общество "Навоиазот"</w:t>
      </w:r>
    </w:p>
    <w:bookmarkEnd w:id="0"/>
    <w:p w14:paraId="522BF26F" w14:textId="3F0F523B" w:rsidR="00A048F3" w:rsidRDefault="00A048F3">
      <w:pPr>
        <w:rPr>
          <w:sz w:val="28"/>
          <w:szCs w:val="28"/>
          <w:lang w:val="ru-RU"/>
        </w:rPr>
      </w:pPr>
    </w:p>
    <w:tbl>
      <w:tblGrid>
        <w:gridCol/>
      </w:tblGrid>
      <w:tr>
        <w:trPr/>
        <w:tc>
          <w:tcPr>
            <w:noWrap/>
          </w:tcPr>
          <w:p>
            <w:pPr>
              <w:pStyle w:val="Heading4"/>
            </w:pPr>
            <w:r>
              <w:rPr/>
              <w:t xml:space="preserve">Самадов Фаррух Хамзаевич</w:t>
            </w:r>
          </w:p>
          <w:p>
            <w:pPr>
              <w:pStyle w:val="Heading6"/>
            </w:pPr>
            <w:r>
              <w:rPr/>
              <w:t xml:space="preserve">Председатель правления АО "Навоийзот"</w:t>
            </w:r>
          </w:p>
          <w:p>
            <w:pPr/>
            <w:hyperlink r:id="rId7" w:history="1">
              <w:r>
                <w:rPr/>
                <w:t xml:space="preserve"/>
              </w:r>
            </w:hyperlink>
            <w:r>
              <w:rPr/>
              <w:t xml:space="preserve"> </w:t>
            </w:r>
            <w:hyperlink r:id="rId8" w:history="1">
              <w:r>
                <w:rPr/>
                <w:t xml:space="preserve"/>
              </w:r>
            </w:hyperlink>
            <w:r>
              <w:rPr/>
              <w:t xml:space="preserve"> </w:t>
            </w:r>
            <w:hyperlink r:id="rId9" w:history="1">
              <w:r>
                <w:rPr/>
                <w:t xml:space="preserve"/>
              </w:r>
            </w:hyperlink>
            <w:r>
              <w:rPr/>
              <w:t xml:space="preserve"> </w:t>
            </w:r>
            <w:hyperlink r:id="rId10" w:history="1">
              <w:r>
                <w:rPr/>
                <w:t xml:space="preserve"/>
              </w:r>
            </w:hyperlink>
            <w:r>
              <w:rPr/>
              <w:t xml:space="preserve"> </w:t>
            </w:r>
            <w:hyperlink r:id="rId11" w:history="1">
              <w:r>
                <w:rPr/>
                <w:t xml:space="preserve"/>
              </w:r>
            </w:hyperlink>
          </w:p>
          <w:p>
            <w:pPr/>
            <w:r>
              <w:rPr>
                <w:b w:val="1"/>
                <w:bCs w:val="1"/>
              </w:rPr>
              <w:t xml:space="preserve">Канцелярия:</w:t>
            </w:r>
            <w:r>
              <w:rPr/>
              <w:t xml:space="preserve"> </w:t>
            </w:r>
            <w:hyperlink r:id="rId12" w:history="1">
              <w:r>
                <w:rPr/>
                <w:t xml:space="preserve">+998792292202</w:t>
              </w:r>
            </w:hyperlink>
          </w:p>
          <w:p>
            <w:pPr/>
            <w:r>
              <w:rPr>
                <w:b w:val="1"/>
                <w:bCs w:val="1"/>
              </w:rPr>
              <w:t xml:space="preserve">Приемная:</w:t>
            </w:r>
            <w:r>
              <w:rPr/>
              <w:t xml:space="preserve"> </w:t>
            </w:r>
            <w:hyperlink r:id="rId13" w:history="1">
              <w:r>
                <w:rPr/>
                <w:t xml:space="preserve">+998792292236</w:t>
              </w:r>
            </w:hyperlink>
          </w:p>
          <w:p>
            <w:pPr/>
            <w:r>
              <w:rPr>
                <w:b w:val="1"/>
                <w:bCs w:val="1"/>
              </w:rPr>
              <w:t xml:space="preserve">Пресс служба:</w:t>
            </w:r>
            <w:r>
              <w:rPr/>
              <w:t xml:space="preserve"> </w:t>
            </w:r>
            <w:hyperlink r:id="rId14" w:history="1">
              <w:r>
                <w:rPr/>
                <w:t xml:space="preserve">+998792292403</w:t>
              </w:r>
            </w:hyperlink>
          </w:p>
          <w:p>
            <w:pPr/>
            <w:r>
              <w:rPr>
                <w:b w:val="1"/>
                <w:bCs w:val="1"/>
              </w:rPr>
              <w:t xml:space="preserve">Телефон доверия:</w:t>
            </w:r>
            <w:r>
              <w:rPr/>
              <w:t xml:space="preserve"> </w:t>
            </w:r>
            <w:hyperlink r:id="rId15" w:history="1">
              <w:r>
                <w:rPr/>
                <w:t xml:space="preserve">+998792244111</w:t>
              </w:r>
            </w:hyperlink>
          </w:p>
          <w:p>
            <w:pPr/>
            <w:r>
              <w:rPr>
                <w:b w:val="1"/>
                <w:bCs w:val="1"/>
              </w:rPr>
              <w:t xml:space="preserve">Электронная почта:</w:t>
            </w:r>
            <w:r>
              <w:rPr/>
              <w:t xml:space="preserve"> </w:t>
            </w:r>
            <w:hyperlink r:id="rId16" w:history="1">
              <w:r>
                <w:rPr/>
                <w:t xml:space="preserve">office@navoiyazot.uz</w:t>
              </w:r>
            </w:hyperlink>
          </w:p>
          <w:p>
            <w:pPr/>
            <w:r>
              <w:rPr>
                <w:b w:val="1"/>
                <w:bCs w:val="1"/>
              </w:rPr>
              <w:t xml:space="preserve">Почта EXAT:</w:t>
            </w:r>
            <w:r>
              <w:rPr/>
              <w:t xml:space="preserve"> </w:t>
            </w:r>
            <w:hyperlink r:id="rId17" w:history="1">
              <w:r>
                <w:rPr/>
                <w:t xml:space="preserve">navoiyazot@exat.uz</w:t>
              </w:r>
            </w:hyperlink>
          </w:p>
          <w:p>
            <w:pPr/>
            <w:r>
              <w:rPr>
                <w:b w:val="1"/>
                <w:bCs w:val="1"/>
              </w:rPr>
              <w:t xml:space="preserve">Адрес:</w:t>
            </w:r>
            <w:r>
              <w:rPr/>
              <w:t xml:space="preserve"> </w:t>
            </w:r>
            <w:hyperlink r:id="rId18" w:history="1">
              <w:r>
                <w:rPr/>
                <w:t xml:space="preserve"> 210100, Республика Узбекистан, Навоийская область г. Навои, 5</w:t>
              </w:r>
            </w:hyperlink>
          </w:p>
          <w:p>
            <w:pPr/>
            <w:hyperlink r:id="rId19" w:history="1">
              <w:r>
                <w:rPr/>
                <w:t xml:space="preserve"> </w:t>
              </w:r>
            </w:hyperlink>
          </w:p>
          <w:p>
            <w:pPr/>
            <w:hyperlink r:id="rId20" w:history="1">
              <w:r>
                <w:rPr/>
                <w:t xml:space="preserve"> </w:t>
              </w:r>
            </w:hyperlink>
          </w:p>
          <w:p>
            <w:pPr/>
            <w:hyperlink r:id="rId21" w:history="1">
              <w:r>
                <w:rPr/>
                <w:t xml:space="preserve"> </w:t>
              </w:r>
            </w:hyperlink>
          </w:p>
          <w:p>
            <w:pPr/>
          </w:p>
          <w:tbl>
            <w:tblGrid>
              <w:gridCol/>
              <w:gridCol/>
            </w:tblGrid>
            <w:tblPr>
              <w:tblW w:w="0" w:type="auto"/>
              <w:tblLayout w:type="autofit"/>
            </w:tblPr>
            <w:tr>
              <w:trPr/>
              <w:tc>
                <w:tcPr>
                  <w:noWrap/>
                </w:tcPr>
                <w:p>
                  <w:pPr/>
                  <w:r>
                    <w:rPr>
                      <w:b w:val="1"/>
                      <w:bCs w:val="1"/>
                    </w:rPr>
                    <w:t xml:space="preserve">Основные виды выпускаемой продукции и оказываемых услуг предприятия (организации)</w:t>
                  </w:r>
                </w:p>
              </w:tc>
              <w:tc>
                <w:tcPr>
                  <w:noWrap/>
                </w:tcPr>
                <w:p>
                  <w:pPr/>
                  <w:r>
                    <w:rPr/>
                    <w:t xml:space="preserve">Аммиачная селитра, сульфат аммония, волокно нитрон, уксусная кислота, цианистый натрий, азотная кислота, двуокись углерода, метанол ректификат, соляная кислота, полиакриламид, аргон газообразный, формалин, хлор жидкий, унифлок, КФ смолы, ацетилен, фосфатизированная аммиачная селитра, метанол-ректификат марки А, диметиловый эфир и другие.</w:t>
                  </w:r>
                </w:p>
              </w:tc>
            </w:tr>
            <w:tr>
              <w:trPr/>
              <w:tc>
                <w:tcPr>
                  <w:noWrap/>
                </w:tcPr>
                <w:p>
                  <w:pPr/>
                  <w:r>
                    <w:rPr>
                      <w:b w:val="1"/>
                      <w:bCs w:val="1"/>
                    </w:rPr>
                    <w:t xml:space="preserve">Основное сырье, необходимое для производства</w:t>
                  </w:r>
                </w:p>
              </w:tc>
              <w:tc>
                <w:tcPr>
                  <w:noWrap/>
                </w:tcPr>
                <w:p>
                  <w:pPr/>
                  <w:r>
                    <w:rPr/>
                    <w:t xml:space="preserve">Природный газ, красители катионные, катализаторы, сорбиталь, сорбитан, гидроксинон, моноэтаноламин, сода кальцинированная, соль техническая, порофор, спирт изопропиловый, эфир диизопропиловый, кислота итаконовая, железный купорос, сера, термолан, триамон и др.</w:t>
                  </w:r>
                </w:p>
              </w:tc>
            </w:tr>
            <w:tr>
              <w:trPr/>
              <w:tc>
                <w:tcPr>
                  <w:noWrap/>
                </w:tcPr>
                <w:p>
                  <w:pPr/>
                  <w:r>
                    <w:rPr>
                      <w:b w:val="1"/>
                      <w:bCs w:val="1"/>
                    </w:rPr>
                    <w:t xml:space="preserve">Основные местные потребители</w:t>
                  </w:r>
                </w:p>
              </w:tc>
              <w:tc>
                <w:tcPr>
                  <w:noWrap/>
                </w:tcPr>
                <w:p>
                  <w:pPr/>
                  <w:r>
                    <w:rPr/>
                    <w:t xml:space="preserve">Селское хозяйство, НГМК, предприятия АО «Узкимёсаноат», АГМК, АО «НавоиТЭС», ГАО «ТАПОиЧ», СП «Амантайтау Голдфилдс», АО ТТЗ, АО «ЮПК»</w:t>
                  </w:r>
                </w:p>
              </w:tc>
            </w:tr>
            <w:tr>
              <w:trPr/>
              <w:tc>
                <w:tcPr>
                  <w:noWrap/>
                </w:tcPr>
                <w:p>
                  <w:pPr/>
                  <w:r>
                    <w:rPr>
                      <w:b w:val="1"/>
                      <w:bCs w:val="1"/>
                    </w:rPr>
                    <w:t xml:space="preserve">Основные импортеры продукции</w:t>
                  </w:r>
                </w:p>
              </w:tc>
              <w:tc>
                <w:tcPr>
                  <w:noWrap/>
                </w:tcPr>
                <w:p>
                  <w:pPr/>
                  <w:r>
                    <w:rPr/>
                    <w:t xml:space="preserve">Казахстан, Кыргызстан, Таджикистан, Туркменистан, Китай, Пакистан, Турция, Украина</w:t>
                  </w:r>
                </w:p>
              </w:tc>
            </w:tr>
          </w:tbl>
          <w:p>
            <w:pPr/>
            <w:r>
              <w:rPr/>
              <w:t xml:space="preserve"> </w:t>
            </w:r>
          </w:p>
          <w:p>
            <w:pPr>
              <w:jc w:val="both"/>
            </w:pPr>
            <w:r>
              <w:rPr>
                <w:b w:val="1"/>
                <w:bCs w:val="1"/>
              </w:rPr>
              <w:t xml:space="preserve">Предпосылки строительства Навоийского химического комбината</w:t>
            </w:r>
            <w:br/>
            <w:r>
              <w:rPr/>
              <w:t xml:space="preserve">Химическая промышленность Узбекистана к началу строительства Навоийского химического комбината давала более 7% от выпуска минеральных удобрений в бывшем Союзе ССР. По производству их на душу населения он опережал среднесоюзные показатели.</w:t>
            </w:r>
            <w:br/>
            <w:r>
              <w:rPr/>
              <w:t xml:space="preserve">И все же объем производства минеральных удобрений в республике не покрывал потребности сельского хозяйства, ввиду чего приходилось завозить их из других районов страны, например, из западной Сибири и Украины, и из-за границы.</w:t>
            </w:r>
            <w:br/>
            <w:r>
              <w:rPr/>
              <w:t xml:space="preserve">Потребность Узбекистана в минеральных удобрениях в 1965 г. составляла 3460 тыс. тонн, в том числе азотных — 2032 тыс. тонн. Однако было произведено удобрений лишь 2146 тыс. тонн, в том числе — 1338 тыс. тонн азотных.</w:t>
            </w:r>
            <w:br/>
            <w:r>
              <w:rPr/>
              <w:t xml:space="preserve">Широкие перспективы для быстрого роста производства минеральных удобрений в Узбекистане открылись после ввода в эксплуатацию богатейших месторождений природного газа в Бухарской области. Использование в качестве сырья природного газа Бухарского месторождения позволило максимально приблизить заводы азотных удобрений к районам их потребления.</w:t>
            </w:r>
            <w:br/>
            <w:r>
              <w:rPr/>
              <w:t xml:space="preserve">Все это, а также строительство крупной Навоийской ГРЭС явилось предпосылками строительства в городе Навои химического комбината по производству аммиачной селитры и волокна нитрон с группой цехов органического производства на базе комплексной переработке природного газа.</w:t>
            </w:r>
            <w:br/>
            <w:r>
              <w:rPr>
                <w:b w:val="1"/>
                <w:bCs w:val="1"/>
              </w:rPr>
              <w:t xml:space="preserve">Проектирование Навоийского химического комбината</w:t>
            </w:r>
            <w:br/>
            <w:r>
              <w:rPr/>
              <w:t xml:space="preserve">В проектировании Навоийского химического комбината приняли участие более 10 крупных проектных организаций бывшего Союза. Кроме того, в разработке проекта аммиачного производства III очереди участвовали проектные организации Чехословакии. Генеральным проектировщиком комбината был государственный институт азотной промышленности (ГИАП), а с 1970-го года — Чирчикский филиал ГИАП.</w:t>
            </w:r>
            <w:br/>
            <w:r>
              <w:rPr/>
              <w:t xml:space="preserve">Для Навоийского химического комбината были разработаны следующие основные проекты по производству:</w:t>
            </w:r>
            <w:br/>
            <w:r>
              <w:rPr/>
              <w:t xml:space="preserve">•    аммиака</w:t>
            </w:r>
            <w:br/>
            <w:r>
              <w:rPr/>
              <w:t xml:space="preserve">•    слабой азотной кислоты (под давлением 5,6 атм и 7,3 атм)</w:t>
            </w:r>
            <w:br/>
            <w:r>
              <w:rPr/>
              <w:t xml:space="preserve">•    аммиачной селитры</w:t>
            </w:r>
            <w:br/>
            <w:r>
              <w:rPr/>
              <w:t xml:space="preserve">•    цеха органического комплекса по производству ацетилена</w:t>
            </w:r>
            <w:br/>
            <w:r>
              <w:rPr/>
              <w:t xml:space="preserve">•    уксусной кислоты</w:t>
            </w:r>
            <w:br/>
            <w:r>
              <w:rPr/>
              <w:t xml:space="preserve">•    ацетальдегида</w:t>
            </w:r>
            <w:br/>
            <w:r>
              <w:rPr/>
              <w:t xml:space="preserve">•    нитрила акриловой кислоты (НАК)</w:t>
            </w:r>
            <w:br/>
            <w:r>
              <w:rPr/>
              <w:t xml:space="preserve">•    сульфата аммония</w:t>
            </w:r>
            <w:br/>
            <w:r>
              <w:rPr/>
              <w:t xml:space="preserve">•    синильной кислоты</w:t>
            </w:r>
            <w:br/>
            <w:r>
              <w:rPr/>
              <w:t xml:space="preserve">•    цианистого натрия</w:t>
            </w:r>
            <w:br/>
            <w:r>
              <w:rPr/>
              <w:t xml:space="preserve">•    производства волокна нитрон</w:t>
            </w:r>
            <w:br/>
            <w:r>
              <w:rPr>
                <w:b w:val="1"/>
                <w:bCs w:val="1"/>
              </w:rPr>
              <w:t xml:space="preserve">Пуск и расширение Навоийского химкомбината</w:t>
            </w:r>
            <w:br/>
            <w:r>
              <w:rPr/>
              <w:t xml:space="preserve">31 декабря 1964 года Государственной приемочной комиссией подписано решение «принять в эксплуатацию с общей оценкой «хорошо» объекты по производству слабой азотной кислоты и аммиачной селитры. С этого дня ведется летоисчисление Навоийского химического комбината. Двумя днями ранее29 декабря 1964 года в смене Саипова Исламкулы Джумабаевича была получена первая аммиачная селитра.</w:t>
            </w:r>
            <w:br/>
            <w:r>
              <w:rPr/>
              <w:t xml:space="preserve">Три месяца спустя 8 марта 1965 года в смене Владимира Григорьевича Усачева был получен первый аммиак. До этого дня удобрения производили из привозного аммиака. В марте 1965 года была освоена и проектная мощность производства (110 тыс. тонн в год). 31 марта 1965 года был подписан акт о сдаче в эксплуатацию объектов производства аммиака I очереди. Знаменательными событиями для всего предприятия были пуск в ноябре 1965 года отделения наполнения баллонов техническим кислородом, который ждали строительные площадки Бухарской области и получение летом 1967 года первой тонны аммиачной воды, в которой остро нуждались Навоийские промышленные участки и особенно сельское хозяйство. В июне 1968 года было пущено отделение двуокиси углерода.</w:t>
            </w:r>
            <w:br/>
            <w:r>
              <w:rPr/>
              <w:t xml:space="preserve">Строительство цехов органического комплекса началось в 1965 году. А уже с августа 1968 года сданы в эксплуатацию цеха по производству углекислоты, цианистого натрия, синильной и уксусной кислоты, ацетилена, ацетальдегида и сульфата аммония. 21 апреля 1973 года были получены первые тонны нитрила акриловой кислоты (НАК).</w:t>
            </w:r>
            <w:br/>
            <w:r>
              <w:rPr/>
              <w:t xml:space="preserve">Новорожденный комбинат рос и развивался с поразительной по тому времени скоростью.</w:t>
            </w:r>
            <w:br/>
            <w:r>
              <w:rPr/>
              <w:t xml:space="preserve">31 декабря 1970 года приняты в эксплуатацию объекты производства ацетилена ацетальдегида.</w:t>
            </w:r>
            <w:br/>
            <w:r>
              <w:rPr/>
              <w:t xml:space="preserve">7 января 1971 года был получен газообразный аммиак, а в ночь на восьмое число — азотная кислота.</w:t>
            </w:r>
            <w:br/>
            <w:r>
              <w:rPr/>
              <w:t xml:space="preserve">9 января 1971 года был подан плав на гранулятор и поток капель устремился вниз. Транспортер наполнился селитрой. Так была получена первая аммиачная селитра на III очереди химкомбината.</w:t>
            </w:r>
            <w:br/>
            <w:r>
              <w:rPr/>
              <w:t xml:space="preserve">31 марта 1971 года введены в строй:</w:t>
            </w:r>
            <w:br/>
            <w:r>
              <w:rPr/>
              <w:t xml:space="preserve">•    действующий цех слабой азотной кислоты третьей очереди;</w:t>
            </w:r>
            <w:br/>
            <w:r>
              <w:rPr/>
              <w:t xml:space="preserve">•    объекты третьей очереди производства аммиачной селитры;</w:t>
            </w:r>
            <w:br/>
            <w:r>
              <w:rPr/>
              <w:t xml:space="preserve">•    объекты третьей очереди производства аммиака.</w:t>
            </w:r>
            <w:br/>
            <w:r>
              <w:rPr/>
              <w:t xml:space="preserve">Строительство производства волокна нитрон I очереди осуществлялось в 1970-1971 гг. 25 октября 1971 г. (на привозном НАКе) была пущена первая технологическая нить производства. Полное освоение мощности производства было достигнуто к июню 1973 г.</w:t>
            </w:r>
            <w:br/>
            <w:r>
              <w:rPr/>
              <w:t xml:space="preserve">В 1975 г. Навоийский химический комбинат был преобразован в производственное объединение «Navoiyazot».</w:t>
            </w:r>
            <w:br/>
            <w:r>
              <w:rPr/>
              <w:t xml:space="preserve">Не менее знаменательными событиями для всего предприятия был отмечен и 1988 год. В этом году была пущена установка по производству тиомочевины, а также был налажен выпуск соляной кислоты.</w:t>
            </w:r>
            <w:br/>
            <w:r>
              <w:rPr/>
              <w:t xml:space="preserve">В 2001 г. был пущен в работу цех по выпуску каустической соды и жидкого хлора. Этот цех был построен совместно с немецкой химической компанией «Lurgi».</w:t>
            </w:r>
            <w:br/>
            <w:r>
              <w:rPr/>
              <w:t xml:space="preserve">За период 1991-2014 годы освоено производство 14 новых видов продукции:</w:t>
            </w:r>
            <w:br/>
            <w:r>
              <w:rPr/>
              <w:t xml:space="preserve">1.    Препарат «Унифлок», 1991 год;</w:t>
            </w:r>
            <w:br/>
            <w:r>
              <w:rPr/>
              <w:t xml:space="preserve">2.    Эпоксидно-диановые смолы марки ЭД-20, ЭД-16, ЭД-40, 1992 год;</w:t>
            </w:r>
            <w:br/>
            <w:r>
              <w:rPr/>
              <w:t xml:space="preserve">3.    Карбамидоформальдегидные смолы КФЖ, КС – 11, 1992 год;</w:t>
            </w:r>
            <w:br/>
            <w:r>
              <w:rPr/>
              <w:t xml:space="preserve">4.    Водорастворимые препараты К-4, К-9, 1993 год;</w:t>
            </w:r>
            <w:br/>
            <w:r>
              <w:rPr/>
              <w:t xml:space="preserve">5.    Полиакриламид ПАА-гель, 1993 год;</w:t>
            </w:r>
            <w:br/>
            <w:r>
              <w:rPr/>
              <w:t xml:space="preserve">6.    Гранулированный полиакриламид, 1994 год;</w:t>
            </w:r>
            <w:br/>
            <w:r>
              <w:rPr/>
              <w:t xml:space="preserve">7.    Метанол марки «А», 1999 год;</w:t>
            </w:r>
            <w:br/>
            <w:r>
              <w:rPr/>
              <w:t xml:space="preserve">8.    Формалин – 37 %. 2000 год;</w:t>
            </w:r>
            <w:br/>
            <w:r>
              <w:rPr/>
              <w:t xml:space="preserve">9.    Каустическая сода, 2001 год;</w:t>
            </w:r>
            <w:br/>
            <w:r>
              <w:rPr/>
              <w:t xml:space="preserve">10.    Соляная кислота, 2001 год;</w:t>
            </w:r>
            <w:br/>
            <w:r>
              <w:rPr/>
              <w:t xml:space="preserve">11.    Гипохлорит натрия, 2001 год;</w:t>
            </w:r>
            <w:br/>
            <w:r>
              <w:rPr/>
              <w:t xml:space="preserve">12.    Мешки полипропиленовые, 2005 год;</w:t>
            </w:r>
            <w:br/>
            <w:r>
              <w:rPr/>
              <w:t xml:space="preserve">13.    Азотно-фосфорное удобрение, 2009 год;</w:t>
            </w:r>
            <w:br/>
            <w:r>
              <w:rPr/>
              <w:t xml:space="preserve">14.    Водно-дисперсионная краска, 2010 год.</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https://new.uzkimyosanoat.uz/ru/company/enterprise/manufacture/navoiazot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