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22 июля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Отдел по работе с международными финансовыми институтами, кредитными и ESG рейтингами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	</w:t>
            </w:r>
          </w:p>
          <w:p>
            <w:pPr>
              <w:pStyle w:val="Heading4"/>
            </w:pPr>
            <w:r>
              <w:rPr/>
              <w:t xml:space="preserve">Вакант</w:t>
            </w:r>
          </w:p>
          <w:p>
            <w:pPr>
              <w:pStyle w:val="Heading5"/>
            </w:pPr>
            <w:r>
              <w:rPr/>
              <w:t xml:space="preserve">Начальник отдела по работе с международными финансовыми институтами, кредитными и ESG рейтингами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Phone:</w:t>
            </w:r>
            <w:r>
              <w:rPr/>
              <w:t xml:space="preserve"> </w:t>
            </w:r>
            <w:hyperlink r:id="rId7" w:history="1">
              <w:r>
                <w:rPr/>
                <w:t xml:space="preserve"/>
              </w:r>
            </w:hyperlink>
          </w:p>
          <w:p>
            <w:pPr/>
            <w:r>
              <w:rPr>
                <w:b w:val="1"/>
                <w:bCs w:val="1"/>
              </w:rPr>
              <w:t xml:space="preserve">Email:</w:t>
            </w:r>
            <w:r>
              <w:rPr/>
              <w:t xml:space="preserve"> </w:t>
            </w:r>
            <w:hyperlink r:id="rId8" w:history="1">
              <w:r>
                <w:rPr/>
                <w:t xml:space="preserve"/>
              </w:r>
            </w:hyperlink>
          </w:p>
          <w:p>
            <w:pPr/>
            <w:r>
              <w:rPr/>
              <w:t xml:space="preserve">    </w:t>
            </w:r>
            <w:hyperlink r:id="rId9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0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1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2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3" w:history="1">
              <w:r>
                <w:rPr/>
                <w:t xml:space="preserve"/>
              </w:r>
            </w:hyperlink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https://new.uzkimyosanoat.uz/ru/company/department/xalqaro-moliya-institutlari-kredit-hamda-esg-reytinglari-bilan-ishlash-bolimi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