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5-sentabr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hamda “Navoiyazot” aksiyadorlik jamiyatlarining RASMIY BAYONOTI</w:t>
      </w:r>
    </w:p>
    <w:bookmarkEnd w:id="0"/>
    <w:p w14:paraId="522BF26F" w14:textId="3F0F523B" w:rsidR="00A048F3" w:rsidRDefault="00A048F3">
      <w:pPr>
        <w:rPr>
          <w:sz w:val="28"/>
          <w:szCs w:val="28"/>
          <w:lang w:val="ru-RU"/>
        </w:rPr>
      </w:pPr>
    </w:p>
    <w:tbl>
      <w:tblGrid>
        <w:gridCol/>
      </w:tblGrid>
      <w:tr>
        <w:trPr/>
        <w:tc>
          <w:tcPr>
            <w:noWrap/>
          </w:tcPr>
          <w:p>
            <w:pPr/>
            <w:r>
              <w:rPr/>
              <w:t xml:space="preserve">OAV hamda ijtimoiy tarmoqlarda “Zarafshon daryosida yana baliqlar nobud boʻldi, bunga «Navoiyazot” va “Navoiy IES” korxonalarining daryoga tashlaydigan oqova suvlari sabab boʻlishi mumkin» mazmunidagi maʼlumotlar keng tarqalmoqda. Holat yuzasidan “Oʻzkimyosanoat” hamda “Navoiyazot” AJlar quyidagilarni maʼlum qiladi.</w:t>
            </w:r>
          </w:p>
          <w:p>
            <w:pPr/>
            <w:r>
              <w:rPr/>
              <w:t xml:space="preserve">“Navoiyazot” AJ oqova suvlari ikki guruhga ajratilishi haqida koʻp bor maʼlum qilingan. Bular tarkibi zararli boʻlgan ishlab chiqarish oqova suvi  hamda toza hisoblanadigan yomgʻir va  sovituvchi suv tizimlaridan tashlanadigan suvlardir.</w:t>
            </w:r>
          </w:p>
          <w:p>
            <w:pPr/>
            <w:r>
              <w:rPr/>
              <w:t xml:space="preserve">“Navoiyazot” AJda ishlab chiqarishda hosil boʻlgan zararli oqova suvlar alohida Biokimyoviy tozalash inshootiga yuboriladi va u yerda talab darajasida ekologik tozalanib, biohavzalarga tashlanadi. Ikkinchi turdagi zararli ishlab chiqarish oqova suvlari shlam yigʻuvchi havzada yigʻilib quritiladi hamda shlamlari utilizatsiyaga yuboriladi. Mazkur ikkala jarayon ham korxonada jiddiy nazoratga olingan boʻlib, hozirgi kunda ham uzluksiz faoliyati taʼminlangan.</w:t>
            </w:r>
          </w:p>
          <w:p>
            <w:pPr/>
            <w:r>
              <w:rPr/>
              <w:t xml:space="preserve">“Navoiyazot” AJ oʻz ish faoliyatida Oʻzbekiston Respublikasining amaldagi Qonunlari, farmonlari hamda barcha meʼyoriy-huquqiy hujjatlaridan kelib chiqqan holda, korxonaning atrof-muhitga zararli taʼsirini kamaytirish boʻyicha muntazam ravishda tizimli va maqsadli ishlarni olib boradi. Shu bilan birga, “Navoiyazot” AJdan atmosferaga tarqaydigan chiqindilar va oqava suv chiqindilari korxonaning ekologik tahlil (sanitariya) laboratoriyasi tomonidan doimiy nazoratga olingan. Korxona joylashgan hudud ekologiyasiga taʼsirni kamaytirish maqsadida “Navoiyazot” AJda atmosfera va suv omborlariga chiqindilarning chiqarilishi, eng muhimi, ularning hosil boʻlishini kamaytirish, shuningdek, xomashyo hamda energiya resurslarini tejash maqsadida joriy yilning oʻzida 2 mlrd. soʻmdan ortiq qiymatdagi chora-tadbirlar amalga oshirilgan.</w:t>
            </w:r>
          </w:p>
          <w:p>
            <w:pPr/>
            <w:r>
              <w:rPr/>
              <w:t xml:space="preserve">Bugungi kunda tashlanayotgan oqova suvlarning tarkibida ammoniy birikmalari avvalgi yillardagi kabi koʻrsatkichda va bu Zarafshon daryosidagi baliqlarning qirilib ketishiga sabab boʻladigan darajada emas. Chunki ammoniy birikmalari bir necha yillardan beri yuqori dinamikani tashkil qilib kelgan, lekin bu holat daryodagi baliqlarga salbiy taʼsir koʻrsatmagan.</w:t>
            </w:r>
          </w:p>
          <w:p>
            <w:pPr/>
            <w:r>
              <w:rPr/>
              <w:t xml:space="preserve">Joriy yilning 4-sentabr kuni Zarafshon daryosida sodir boʻlgan, baliqlarning nobud boʻlishi bilan bogʻliq voqeadan soʻng darhol korxonaning ekologik tahlil (sanitariya) laboratoriyasi tomonidan daryo suvi va oqova suvlardan namunalar olinib laboratoriya tahlillari oʻtkazilgan boʻlib, ular quyidagi natijalarni koʻrsatdi:</w:t>
            </w:r>
          </w:p>
          <w:p>
            <w:pPr/>
            <w:r>
              <w:rPr/>
              <w:t xml:space="preserve"> </w:t>
            </w:r>
          </w:p>
          <w:tbl>
            <w:tblGrid>
              <w:gridCol w:w="2055" w:type="dxa"/>
              <w:gridCol w:w="1380" w:type="dxa"/>
              <w:gridCol w:w="2070" w:type="dxa"/>
              <w:gridCol w:w="1815" w:type="dxa"/>
              <w:gridCol w:w="2070" w:type="dxa"/>
            </w:tblGrid>
            <w:tblPr>
              <w:tblW w:w="9390" w:type="dxa"/>
              <w:tblCellSpacing w:w="0" w:type="dxa"/>
              <w:tblLayout w:type="autofit"/>
              <w:tblBorders>
                <w:top w:val="single" w:sz="15"/>
                <w:left w:val="single" w:sz="15"/>
                <w:right w:val="single" w:sz="15"/>
                <w:bottom w:val="single" w:sz="15"/>
                <w:insideH w:val="single" w:sz="15"/>
                <w:insideV w:val="single" w:sz="15"/>
              </w:tblBorders>
            </w:tblPr>
            <w:tr>
              <w:trPr/>
              <w:tc>
                <w:tcPr>
                  <w:tcW w:w="2055" w:type="dxa"/>
                  <w:noWrap/>
                </w:tcPr>
                <w:p>
                  <w:pPr/>
                  <w:r>
                    <w:rPr/>
                    <w:t xml:space="preserve">			</w:t>
                  </w:r>
                </w:p>
                <w:p>
                  <w:pPr>
                    <w:jc w:val="center"/>
                  </w:pPr>
                  <w:r>
                    <w:rPr>
                      <w:b w:val="1"/>
                      <w:bCs w:val="1"/>
                    </w:rPr>
                    <w:t xml:space="preserve">Ta</w:t>
                  </w:r>
                  <w:r>
                    <w:rPr>
                      <w:b w:val="1"/>
                      <w:bCs w:val="1"/>
                    </w:rPr>
                    <w:t xml:space="preserve">h</w:t>
                  </w:r>
                  <w:r>
                    <w:rPr>
                      <w:b w:val="1"/>
                      <w:bCs w:val="1"/>
                    </w:rPr>
                    <w:t xml:space="preserve">lil joyi</w:t>
                  </w:r>
                </w:p>
                <w:p>
                  <w:pPr/>
                  <w:r>
                    <w:rPr/>
                    <w:t xml:space="preserve">			</w:t>
                  </w:r>
                </w:p>
              </w:tc>
              <w:tc>
                <w:tcPr>
                  <w:tcW w:w="1380" w:type="dxa"/>
                  <w:noWrap/>
                </w:tcPr>
                <w:p>
                  <w:pPr/>
                  <w:r>
                    <w:rPr/>
                    <w:t xml:space="preserve">			</w:t>
                  </w:r>
                </w:p>
                <w:p>
                  <w:pPr>
                    <w:jc w:val="center"/>
                  </w:pPr>
                  <w:r>
                    <w:rPr>
                      <w:b w:val="1"/>
                      <w:bCs w:val="1"/>
                    </w:rPr>
                    <w:t xml:space="preserve">Oʻlchov birligi</w:t>
                  </w:r>
                </w:p>
                <w:p>
                  <w:pPr/>
                  <w:r>
                    <w:rPr/>
                    <w:t xml:space="preserve">			</w:t>
                  </w:r>
                </w:p>
              </w:tc>
              <w:tc>
                <w:tcPr>
                  <w:tcW w:w="2070" w:type="dxa"/>
                  <w:noWrap/>
                </w:tcPr>
                <w:p>
                  <w:pPr/>
                  <w:r>
                    <w:rPr/>
                    <w:t xml:space="preserve">			</w:t>
                  </w:r>
                </w:p>
                <w:p>
                  <w:pPr>
                    <w:jc w:val="center"/>
                  </w:pPr>
                  <w:r>
                    <w:rPr>
                      <w:b w:val="1"/>
                      <w:bCs w:val="1"/>
                    </w:rPr>
                    <w:t xml:space="preserve">“Navoiyazot” AJ 267-quduq</w:t>
                  </w:r>
                </w:p>
                <w:p>
                  <w:pPr/>
                  <w:r>
                    <w:rPr/>
                    <w:t xml:space="preserve">			</w:t>
                  </w:r>
                </w:p>
              </w:tc>
              <w:tc>
                <w:tcPr>
                  <w:tcW w:w="1815" w:type="dxa"/>
                  <w:noWrap/>
                </w:tcPr>
                <w:p>
                  <w:pPr/>
                  <w:r>
                    <w:rPr/>
                    <w:t xml:space="preserve">			</w:t>
                  </w:r>
                </w:p>
                <w:p>
                  <w:pPr>
                    <w:jc w:val="center"/>
                  </w:pPr>
                  <w:r>
                    <w:rPr>
                      <w:b w:val="1"/>
                      <w:bCs w:val="1"/>
                    </w:rPr>
                    <w:t xml:space="preserve">Azamat posti</w:t>
                  </w:r>
                </w:p>
                <w:p>
                  <w:pPr/>
                  <w:r>
                    <w:rPr/>
                    <w:t xml:space="preserve">			</w:t>
                  </w:r>
                </w:p>
              </w:tc>
              <w:tc>
                <w:tcPr>
                  <w:tcW w:w="2070" w:type="dxa"/>
                  <w:noWrap/>
                </w:tcPr>
                <w:p>
                  <w:pPr/>
                  <w:r>
                    <w:rPr/>
                    <w:t xml:space="preserve">			</w:t>
                  </w:r>
                </w:p>
                <w:p>
                  <w:pPr>
                    <w:jc w:val="center"/>
                  </w:pPr>
                  <w:r>
                    <w:rPr>
                      <w:b w:val="1"/>
                      <w:bCs w:val="1"/>
                    </w:rPr>
                    <w:t xml:space="preserve">“Navoiy IES”</w:t>
                  </w:r>
                  <w:br/>
                  <w:r>
                    <w:rPr>
                      <w:b w:val="1"/>
                      <w:bCs w:val="1"/>
                    </w:rPr>
                    <w:t xml:space="preserve">			(maslolovushka)</w:t>
                  </w:r>
                </w:p>
                <w:p>
                  <w:pPr/>
                  <w:r>
                    <w:rPr/>
                    <w:t xml:space="preserve">			</w:t>
                  </w:r>
                </w:p>
              </w:tc>
            </w:tr>
            <w:tr>
              <w:trPr/>
              <w:tc>
                <w:tcPr>
                  <w:tcW w:w="2055" w:type="dxa"/>
                  <w:noWrap/>
                </w:tcPr>
                <w:p>
                  <w:pPr/>
                  <w:r>
                    <w:rPr/>
                    <w:t xml:space="preserve">			</w:t>
                  </w:r>
                </w:p>
                <w:p>
                  <w:pPr>
                    <w:jc w:val="center"/>
                  </w:pPr>
                  <w:r>
                    <w:rPr/>
                    <w:t xml:space="preserve">PH koʻrsatkichi</w:t>
                  </w:r>
                </w:p>
                <w:p>
                  <w:pPr/>
                  <w:r>
                    <w:rPr/>
                    <w:t xml:space="preserve">			</w:t>
                  </w:r>
                </w:p>
              </w:tc>
              <w:tc>
                <w:tcPr>
                  <w:tcW w:w="1380" w:type="dxa"/>
                  <w:noWrap/>
                </w:tcPr>
                <w:p>
                  <w:pPr/>
                  <w:r>
                    <w:rPr/>
                    <w:t xml:space="preserve">			</w:t>
                  </w:r>
                </w:p>
                <w:p>
                  <w:pPr>
                    <w:jc w:val="center"/>
                  </w:pPr>
                  <w:r>
                    <w:rPr/>
                    <w:t xml:space="preserve"> </w:t>
                  </w:r>
                </w:p>
                <w:p>
                  <w:pPr/>
                  <w:r>
                    <w:rPr/>
                    <w:t xml:space="preserve">			</w:t>
                  </w:r>
                </w:p>
              </w:tc>
              <w:tc>
                <w:tcPr>
                  <w:tcW w:w="2070" w:type="dxa"/>
                  <w:noWrap/>
                </w:tcPr>
                <w:p>
                  <w:pPr/>
                  <w:r>
                    <w:rPr/>
                    <w:t xml:space="preserve">			</w:t>
                  </w:r>
                </w:p>
                <w:p>
                  <w:pPr>
                    <w:jc w:val="center"/>
                  </w:pPr>
                  <w:r>
                    <w:rPr/>
                    <w:t xml:space="preserve">7,85</w:t>
                  </w:r>
                </w:p>
                <w:p>
                  <w:pPr/>
                  <w:r>
                    <w:rPr/>
                    <w:t xml:space="preserve">			</w:t>
                  </w:r>
                </w:p>
              </w:tc>
              <w:tc>
                <w:tcPr>
                  <w:tcW w:w="1815" w:type="dxa"/>
                  <w:noWrap/>
                </w:tcPr>
                <w:p>
                  <w:pPr/>
                  <w:r>
                    <w:rPr/>
                    <w:t xml:space="preserve">			</w:t>
                  </w:r>
                </w:p>
                <w:p>
                  <w:pPr>
                    <w:jc w:val="center"/>
                  </w:pPr>
                  <w:r>
                    <w:rPr/>
                    <w:t xml:space="preserve">8,35</w:t>
                  </w:r>
                </w:p>
                <w:p>
                  <w:pPr/>
                  <w:r>
                    <w:rPr/>
                    <w:t xml:space="preserve">			</w:t>
                  </w:r>
                </w:p>
              </w:tc>
              <w:tc>
                <w:tcPr>
                  <w:tcW w:w="2070" w:type="dxa"/>
                  <w:noWrap/>
                </w:tcPr>
                <w:p>
                  <w:pPr/>
                  <w:r>
                    <w:rPr/>
                    <w:t xml:space="preserve">			</w:t>
                  </w:r>
                </w:p>
                <w:p>
                  <w:pPr>
                    <w:jc w:val="center"/>
                  </w:pPr>
                  <w:r>
                    <w:rPr/>
                    <w:t xml:space="preserve">8,5</w:t>
                  </w:r>
                </w:p>
                <w:p>
                  <w:pPr/>
                  <w:r>
                    <w:rPr/>
                    <w:t xml:space="preserve">			</w:t>
                  </w:r>
                </w:p>
              </w:tc>
            </w:tr>
            <w:tr>
              <w:trPr/>
              <w:tc>
                <w:tcPr>
                  <w:tcW w:w="2055" w:type="dxa"/>
                  <w:noWrap/>
                </w:tcPr>
                <w:p>
                  <w:pPr/>
                  <w:r>
                    <w:rPr/>
                    <w:t xml:space="preserve">			</w:t>
                  </w:r>
                </w:p>
                <w:p>
                  <w:pPr>
                    <w:jc w:val="center"/>
                  </w:pPr>
                  <w:r>
                    <w:rPr/>
                    <w:t xml:space="preserve">Suv qattiqligi</w:t>
                  </w:r>
                </w:p>
                <w:p>
                  <w:pPr/>
                  <w:r>
                    <w:rPr/>
                    <w:t xml:space="preserve">			</w:t>
                  </w:r>
                </w:p>
              </w:tc>
              <w:tc>
                <w:tcPr>
                  <w:tcW w:w="1380" w:type="dxa"/>
                  <w:noWrap/>
                </w:tcPr>
                <w:p>
                  <w:pPr/>
                  <w:r>
                    <w:rPr/>
                    <w:t xml:space="preserve">			</w:t>
                  </w:r>
                </w:p>
                <w:p>
                  <w:pPr>
                    <w:jc w:val="center"/>
                  </w:pPr>
                  <w:r>
                    <w:rPr/>
                    <w:t xml:space="preserve">mgekv/dm3</w:t>
                  </w:r>
                </w:p>
                <w:p>
                  <w:pPr/>
                  <w:r>
                    <w:rPr/>
                    <w:t xml:space="preserve">			</w:t>
                  </w:r>
                </w:p>
              </w:tc>
              <w:tc>
                <w:tcPr>
                  <w:tcW w:w="2070" w:type="dxa"/>
                  <w:noWrap/>
                </w:tcPr>
                <w:p>
                  <w:pPr/>
                  <w:r>
                    <w:rPr/>
                    <w:t xml:space="preserve">			</w:t>
                  </w:r>
                </w:p>
                <w:p>
                  <w:pPr>
                    <w:jc w:val="center"/>
                  </w:pPr>
                  <w:r>
                    <w:rPr/>
                    <w:t xml:space="preserve">17,6</w:t>
                  </w:r>
                </w:p>
                <w:p>
                  <w:pPr/>
                  <w:r>
                    <w:rPr/>
                    <w:t xml:space="preserve">			</w:t>
                  </w:r>
                </w:p>
              </w:tc>
              <w:tc>
                <w:tcPr>
                  <w:tcW w:w="1815" w:type="dxa"/>
                  <w:noWrap/>
                </w:tcPr>
                <w:p>
                  <w:pPr/>
                  <w:r>
                    <w:rPr/>
                    <w:t xml:space="preserve">			</w:t>
                  </w:r>
                </w:p>
                <w:p>
                  <w:pPr>
                    <w:jc w:val="center"/>
                  </w:pPr>
                  <w:r>
                    <w:rPr/>
                    <w:t xml:space="preserve">15,2</w:t>
                  </w:r>
                </w:p>
                <w:p>
                  <w:pPr/>
                  <w:r>
                    <w:rPr/>
                    <w:t xml:space="preserve">			</w:t>
                  </w:r>
                </w:p>
              </w:tc>
              <w:tc>
                <w:tcPr>
                  <w:tcW w:w="2070" w:type="dxa"/>
                  <w:noWrap/>
                </w:tcPr>
                <w:p>
                  <w:pPr/>
                  <w:r>
                    <w:rPr/>
                    <w:t xml:space="preserve">			</w:t>
                  </w:r>
                </w:p>
                <w:p>
                  <w:pPr>
                    <w:jc w:val="center"/>
                  </w:pPr>
                  <w:r>
                    <w:rPr/>
                    <w:t xml:space="preserve">13,6</w:t>
                  </w:r>
                </w:p>
                <w:p>
                  <w:pPr/>
                  <w:r>
                    <w:rPr/>
                    <w:t xml:space="preserve">			</w:t>
                  </w:r>
                </w:p>
              </w:tc>
            </w:tr>
            <w:tr>
              <w:trPr/>
              <w:tc>
                <w:tcPr>
                  <w:tcW w:w="2055" w:type="dxa"/>
                  <w:noWrap/>
                </w:tcPr>
                <w:p>
                  <w:pPr/>
                  <w:r>
                    <w:rPr/>
                    <w:t xml:space="preserve">			</w:t>
                  </w:r>
                </w:p>
                <w:p>
                  <w:pPr>
                    <w:jc w:val="center"/>
                  </w:pPr>
                  <w:r>
                    <w:rPr/>
                    <w:t xml:space="preserve">Xloridlar</w:t>
                  </w:r>
                </w:p>
                <w:p>
                  <w:pPr/>
                  <w:r>
                    <w:rPr/>
                    <w:t xml:space="preserve">			</w:t>
                  </w:r>
                </w:p>
              </w:tc>
              <w:tc>
                <w:tcPr>
                  <w:tcW w:w="1380" w:type="dxa"/>
                  <w:noWrap/>
                </w:tcPr>
                <w:p>
                  <w:pPr/>
                  <w:r>
                    <w:rPr/>
                    <w:t xml:space="preserve">			</w:t>
                  </w:r>
                </w:p>
                <w:p>
                  <w:pPr>
                    <w:jc w:val="center"/>
                  </w:pPr>
                  <w:r>
                    <w:rPr/>
                    <w:t xml:space="preserve">mg/l</w:t>
                  </w:r>
                </w:p>
                <w:p>
                  <w:pPr/>
                  <w:r>
                    <w:rPr/>
                    <w:t xml:space="preserve">			</w:t>
                  </w:r>
                </w:p>
              </w:tc>
              <w:tc>
                <w:tcPr>
                  <w:tcW w:w="2070" w:type="dxa"/>
                  <w:noWrap/>
                </w:tcPr>
                <w:p>
                  <w:pPr/>
                  <w:r>
                    <w:rPr/>
                    <w:t xml:space="preserve">			</w:t>
                  </w:r>
                </w:p>
                <w:p>
                  <w:pPr>
                    <w:jc w:val="center"/>
                  </w:pPr>
                  <w:r>
                    <w:rPr/>
                    <w:t xml:space="preserve">230</w:t>
                  </w:r>
                </w:p>
                <w:p>
                  <w:pPr/>
                  <w:r>
                    <w:rPr/>
                    <w:t xml:space="preserve">			</w:t>
                  </w:r>
                </w:p>
              </w:tc>
              <w:tc>
                <w:tcPr>
                  <w:tcW w:w="1815" w:type="dxa"/>
                  <w:noWrap/>
                </w:tcPr>
                <w:p>
                  <w:pPr/>
                  <w:r>
                    <w:rPr/>
                    <w:t xml:space="preserve">			</w:t>
                  </w:r>
                </w:p>
                <w:p>
                  <w:pPr>
                    <w:jc w:val="center"/>
                  </w:pPr>
                  <w:r>
                    <w:rPr/>
                    <w:t xml:space="preserve">140</w:t>
                  </w:r>
                </w:p>
                <w:p>
                  <w:pPr/>
                  <w:r>
                    <w:rPr/>
                    <w:t xml:space="preserve">			</w:t>
                  </w:r>
                </w:p>
              </w:tc>
              <w:tc>
                <w:tcPr>
                  <w:tcW w:w="2070" w:type="dxa"/>
                  <w:noWrap/>
                </w:tcPr>
                <w:p>
                  <w:pPr/>
                  <w:r>
                    <w:rPr/>
                    <w:t xml:space="preserve">			</w:t>
                  </w:r>
                </w:p>
                <w:p>
                  <w:pPr>
                    <w:jc w:val="center"/>
                  </w:pPr>
                  <w:r>
                    <w:rPr/>
                    <w:t xml:space="preserve">48</w:t>
                  </w:r>
                </w:p>
                <w:p>
                  <w:pPr/>
                  <w:r>
                    <w:rPr/>
                    <w:t xml:space="preserve">			</w:t>
                  </w:r>
                </w:p>
              </w:tc>
            </w:tr>
            <w:tr>
              <w:trPr/>
              <w:tc>
                <w:tcPr>
                  <w:tcW w:w="2055" w:type="dxa"/>
                  <w:noWrap/>
                </w:tcPr>
                <w:p>
                  <w:pPr/>
                  <w:r>
                    <w:rPr/>
                    <w:t xml:space="preserve">			</w:t>
                  </w:r>
                </w:p>
                <w:p>
                  <w:pPr>
                    <w:jc w:val="center"/>
                  </w:pPr>
                  <w:r>
                    <w:rPr/>
                    <w:t xml:space="preserve">Ammoniy</w:t>
                  </w:r>
                </w:p>
                <w:p>
                  <w:pPr/>
                  <w:r>
                    <w:rPr/>
                    <w:t xml:space="preserve">			</w:t>
                  </w:r>
                </w:p>
              </w:tc>
              <w:tc>
                <w:tcPr>
                  <w:tcW w:w="1380" w:type="dxa"/>
                  <w:noWrap/>
                </w:tcPr>
                <w:p>
                  <w:pPr/>
                  <w:r>
                    <w:rPr/>
                    <w:t xml:space="preserve">			</w:t>
                  </w:r>
                </w:p>
                <w:p>
                  <w:pPr>
                    <w:jc w:val="center"/>
                  </w:pPr>
                  <w:r>
                    <w:rPr/>
                    <w:t xml:space="preserve">mg/l</w:t>
                  </w:r>
                </w:p>
                <w:p>
                  <w:pPr/>
                  <w:r>
                    <w:rPr/>
                    <w:t xml:space="preserve">			</w:t>
                  </w:r>
                </w:p>
              </w:tc>
              <w:tc>
                <w:tcPr>
                  <w:tcW w:w="2070" w:type="dxa"/>
                  <w:noWrap/>
                </w:tcPr>
                <w:p>
                  <w:pPr/>
                  <w:r>
                    <w:rPr/>
                    <w:t xml:space="preserve">			</w:t>
                  </w:r>
                </w:p>
                <w:p>
                  <w:pPr>
                    <w:jc w:val="center"/>
                  </w:pPr>
                  <w:r>
                    <w:rPr/>
                    <w:t xml:space="preserve">4,1</w:t>
                  </w:r>
                </w:p>
                <w:p>
                  <w:pPr/>
                  <w:r>
                    <w:rPr/>
                    <w:t xml:space="preserve">			</w:t>
                  </w:r>
                </w:p>
              </w:tc>
              <w:tc>
                <w:tcPr>
                  <w:tcW w:w="1815" w:type="dxa"/>
                  <w:noWrap/>
                </w:tcPr>
                <w:p>
                  <w:pPr/>
                  <w:r>
                    <w:rPr/>
                    <w:t xml:space="preserve">			</w:t>
                  </w:r>
                </w:p>
                <w:p>
                  <w:pPr>
                    <w:jc w:val="center"/>
                  </w:pPr>
                  <w:r>
                    <w:rPr/>
                    <w:t xml:space="preserve">2,7</w:t>
                  </w:r>
                </w:p>
                <w:p>
                  <w:pPr/>
                  <w:r>
                    <w:rPr/>
                    <w:t xml:space="preserve">			</w:t>
                  </w:r>
                </w:p>
              </w:tc>
              <w:tc>
                <w:tcPr>
                  <w:tcW w:w="2070" w:type="dxa"/>
                  <w:noWrap/>
                </w:tcPr>
                <w:p>
                  <w:pPr/>
                  <w:r>
                    <w:rPr/>
                    <w:t xml:space="preserve">			</w:t>
                  </w:r>
                </w:p>
                <w:p>
                  <w:pPr>
                    <w:jc w:val="center"/>
                  </w:pPr>
                  <w:r>
                    <w:rPr/>
                    <w:t xml:space="preserve">0</w:t>
                  </w:r>
                </w:p>
                <w:p>
                  <w:pPr/>
                  <w:r>
                    <w:rPr/>
                    <w:t xml:space="preserve">			</w:t>
                  </w:r>
                </w:p>
              </w:tc>
            </w:tr>
            <w:tr>
              <w:trPr/>
              <w:tc>
                <w:tcPr>
                  <w:tcW w:w="2055" w:type="dxa"/>
                  <w:noWrap/>
                </w:tcPr>
                <w:p>
                  <w:pPr/>
                  <w:r>
                    <w:rPr/>
                    <w:t xml:space="preserve">			</w:t>
                  </w:r>
                </w:p>
                <w:p>
                  <w:pPr>
                    <w:jc w:val="center"/>
                  </w:pPr>
                  <w:r>
                    <w:rPr/>
                    <w:t xml:space="preserve">Sian tuzlari</w:t>
                  </w:r>
                </w:p>
                <w:p>
                  <w:pPr/>
                  <w:r>
                    <w:rPr/>
                    <w:t xml:space="preserve">			</w:t>
                  </w:r>
                </w:p>
              </w:tc>
              <w:tc>
                <w:tcPr>
                  <w:tcW w:w="1380" w:type="dxa"/>
                  <w:noWrap/>
                </w:tcPr>
                <w:p>
                  <w:pPr/>
                  <w:r>
                    <w:rPr/>
                    <w:t xml:space="preserve">			</w:t>
                  </w:r>
                </w:p>
                <w:p>
                  <w:pPr>
                    <w:jc w:val="center"/>
                  </w:pPr>
                  <w:r>
                    <w:rPr/>
                    <w:t xml:space="preserve">mg/l</w:t>
                  </w:r>
                </w:p>
                <w:p>
                  <w:pPr/>
                  <w:r>
                    <w:rPr/>
                    <w:t xml:space="preserve">			</w:t>
                  </w:r>
                </w:p>
              </w:tc>
              <w:tc>
                <w:tcPr>
                  <w:tcW w:w="2070" w:type="dxa"/>
                  <w:noWrap/>
                </w:tcPr>
                <w:p>
                  <w:pPr/>
                  <w:r>
                    <w:rPr/>
                    <w:t xml:space="preserve">			</w:t>
                  </w:r>
                </w:p>
                <w:p>
                  <w:pPr>
                    <w:jc w:val="center"/>
                  </w:pPr>
                  <w:r>
                    <w:rPr/>
                    <w:t xml:space="preserve">0</w:t>
                  </w:r>
                </w:p>
                <w:p>
                  <w:pPr/>
                  <w:r>
                    <w:rPr/>
                    <w:t xml:space="preserve">			</w:t>
                  </w:r>
                </w:p>
              </w:tc>
              <w:tc>
                <w:tcPr>
                  <w:tcW w:w="1815" w:type="dxa"/>
                  <w:noWrap/>
                </w:tcPr>
                <w:p>
                  <w:pPr/>
                  <w:r>
                    <w:rPr/>
                    <w:t xml:space="preserve">			</w:t>
                  </w:r>
                </w:p>
                <w:p>
                  <w:pPr>
                    <w:jc w:val="center"/>
                  </w:pPr>
                  <w:r>
                    <w:rPr/>
                    <w:t xml:space="preserve">0</w:t>
                  </w:r>
                </w:p>
                <w:p>
                  <w:pPr/>
                  <w:r>
                    <w:rPr/>
                    <w:t xml:space="preserve">			</w:t>
                  </w:r>
                </w:p>
              </w:tc>
              <w:tc>
                <w:tcPr>
                  <w:tcW w:w="2070" w:type="dxa"/>
                  <w:noWrap/>
                </w:tcPr>
                <w:p>
                  <w:pPr/>
                  <w:r>
                    <w:rPr/>
                    <w:t xml:space="preserve">			</w:t>
                  </w:r>
                </w:p>
                <w:p>
                  <w:pPr>
                    <w:jc w:val="center"/>
                  </w:pPr>
                  <w:r>
                    <w:rPr/>
                    <w:t xml:space="preserve">0</w:t>
                  </w:r>
                </w:p>
                <w:p>
                  <w:pPr/>
                  <w:r>
                    <w:rPr/>
                    <w:t xml:space="preserve">			</w:t>
                  </w:r>
                </w:p>
              </w:tc>
            </w:tr>
            <w:tr>
              <w:trPr/>
              <w:tc>
                <w:tcPr>
                  <w:tcW w:w="2055" w:type="dxa"/>
                  <w:noWrap/>
                </w:tcPr>
                <w:p>
                  <w:pPr/>
                  <w:r>
                    <w:rPr/>
                    <w:t xml:space="preserve">			</w:t>
                  </w:r>
                </w:p>
                <w:p>
                  <w:pPr>
                    <w:jc w:val="center"/>
                  </w:pPr>
                  <w:r>
                    <w:rPr/>
                    <w:t xml:space="preserve">Ishqoriyligi</w:t>
                  </w:r>
                </w:p>
                <w:p>
                  <w:pPr/>
                  <w:r>
                    <w:rPr/>
                    <w:t xml:space="preserve">			</w:t>
                  </w:r>
                </w:p>
              </w:tc>
              <w:tc>
                <w:tcPr>
                  <w:tcW w:w="1380" w:type="dxa"/>
                  <w:noWrap/>
                </w:tcPr>
                <w:p>
                  <w:pPr/>
                  <w:r>
                    <w:rPr/>
                    <w:t xml:space="preserve">			</w:t>
                  </w:r>
                </w:p>
                <w:p>
                  <w:pPr>
                    <w:jc w:val="center"/>
                  </w:pPr>
                  <w:r>
                    <w:rPr/>
                    <w:t xml:space="preserve">mgekv/dm3</w:t>
                  </w:r>
                </w:p>
                <w:p>
                  <w:pPr/>
                  <w:r>
                    <w:rPr/>
                    <w:t xml:space="preserve">			</w:t>
                  </w:r>
                </w:p>
              </w:tc>
              <w:tc>
                <w:tcPr>
                  <w:tcW w:w="2070" w:type="dxa"/>
                  <w:noWrap/>
                </w:tcPr>
                <w:p>
                  <w:pPr/>
                  <w:r>
                    <w:rPr/>
                    <w:t xml:space="preserve">			</w:t>
                  </w:r>
                </w:p>
                <w:p>
                  <w:pPr>
                    <w:jc w:val="center"/>
                  </w:pPr>
                  <w:r>
                    <w:rPr/>
                    <w:t xml:space="preserve">3,2</w:t>
                  </w:r>
                </w:p>
                <w:p>
                  <w:pPr/>
                  <w:r>
                    <w:rPr/>
                    <w:t xml:space="preserve">			</w:t>
                  </w:r>
                </w:p>
              </w:tc>
              <w:tc>
                <w:tcPr>
                  <w:tcW w:w="1815" w:type="dxa"/>
                  <w:noWrap/>
                </w:tcPr>
                <w:p>
                  <w:pPr/>
                  <w:r>
                    <w:rPr/>
                    <w:t xml:space="preserve">			</w:t>
                  </w:r>
                </w:p>
                <w:p>
                  <w:pPr>
                    <w:jc w:val="center"/>
                  </w:pPr>
                  <w:r>
                    <w:rPr/>
                    <w:t xml:space="preserve">3,8</w:t>
                  </w:r>
                </w:p>
                <w:p>
                  <w:pPr/>
                  <w:r>
                    <w:rPr/>
                    <w:t xml:space="preserve">			</w:t>
                  </w:r>
                </w:p>
              </w:tc>
              <w:tc>
                <w:tcPr>
                  <w:tcW w:w="2070" w:type="dxa"/>
                  <w:noWrap/>
                </w:tcPr>
                <w:p>
                  <w:pPr/>
                  <w:r>
                    <w:rPr/>
                    <w:t xml:space="preserve">			</w:t>
                  </w:r>
                </w:p>
                <w:p>
                  <w:pPr>
                    <w:jc w:val="center"/>
                  </w:pPr>
                  <w:r>
                    <w:rPr/>
                    <w:t xml:space="preserve">3,5</w:t>
                  </w:r>
                </w:p>
                <w:p>
                  <w:pPr/>
                  <w:r>
                    <w:rPr/>
                    <w:t xml:space="preserve">			</w:t>
                  </w:r>
                </w:p>
              </w:tc>
            </w:tr>
            <w:tr>
              <w:trPr/>
              <w:tc>
                <w:tcPr>
                  <w:tcW w:w="2055" w:type="dxa"/>
                  <w:noWrap/>
                </w:tcPr>
                <w:p>
                  <w:pPr/>
                  <w:r>
                    <w:rPr/>
                    <w:t xml:space="preserve">			</w:t>
                  </w:r>
                </w:p>
                <w:p>
                  <w:pPr>
                    <w:jc w:val="center"/>
                  </w:pPr>
                  <w:r>
                    <w:rPr/>
                    <w:t xml:space="preserve">Nitratlar</w:t>
                  </w:r>
                </w:p>
                <w:p>
                  <w:pPr/>
                  <w:r>
                    <w:rPr/>
                    <w:t xml:space="preserve">			</w:t>
                  </w:r>
                </w:p>
              </w:tc>
              <w:tc>
                <w:tcPr>
                  <w:tcW w:w="1380" w:type="dxa"/>
                  <w:noWrap/>
                </w:tcPr>
                <w:p>
                  <w:pPr/>
                  <w:r>
                    <w:rPr/>
                    <w:t xml:space="preserve">			</w:t>
                  </w:r>
                </w:p>
                <w:p>
                  <w:pPr>
                    <w:jc w:val="center"/>
                  </w:pPr>
                  <w:r>
                    <w:rPr/>
                    <w:t xml:space="preserve">mg/l</w:t>
                  </w:r>
                </w:p>
                <w:p>
                  <w:pPr/>
                  <w:r>
                    <w:rPr/>
                    <w:t xml:space="preserve">			</w:t>
                  </w:r>
                </w:p>
              </w:tc>
              <w:tc>
                <w:tcPr>
                  <w:tcW w:w="2070" w:type="dxa"/>
                  <w:noWrap/>
                </w:tcPr>
                <w:p>
                  <w:pPr/>
                  <w:r>
                    <w:rPr/>
                    <w:t xml:space="preserve">			</w:t>
                  </w:r>
                </w:p>
                <w:p>
                  <w:pPr>
                    <w:jc w:val="center"/>
                  </w:pPr>
                  <w:r>
                    <w:rPr/>
                    <w:t xml:space="preserve">27,4</w:t>
                  </w:r>
                </w:p>
                <w:p>
                  <w:pPr/>
                  <w:r>
                    <w:rPr/>
                    <w:t xml:space="preserve">			</w:t>
                  </w:r>
                </w:p>
              </w:tc>
              <w:tc>
                <w:tcPr>
                  <w:tcW w:w="1815" w:type="dxa"/>
                  <w:noWrap/>
                </w:tcPr>
                <w:p>
                  <w:pPr/>
                  <w:r>
                    <w:rPr/>
                    <w:t xml:space="preserve">			</w:t>
                  </w:r>
                </w:p>
                <w:p>
                  <w:pPr>
                    <w:jc w:val="center"/>
                  </w:pPr>
                  <w:r>
                    <w:rPr/>
                    <w:t xml:space="preserve">16,2</w:t>
                  </w:r>
                </w:p>
                <w:p>
                  <w:pPr/>
                  <w:r>
                    <w:rPr/>
                    <w:t xml:space="preserve">			</w:t>
                  </w:r>
                </w:p>
              </w:tc>
              <w:tc>
                <w:tcPr>
                  <w:tcW w:w="2070" w:type="dxa"/>
                  <w:noWrap/>
                </w:tcPr>
                <w:p>
                  <w:pPr/>
                  <w:r>
                    <w:rPr/>
                    <w:t xml:space="preserve">			</w:t>
                  </w:r>
                </w:p>
                <w:p>
                  <w:pPr>
                    <w:jc w:val="center"/>
                  </w:pPr>
                  <w:r>
                    <w:rPr/>
                    <w:t xml:space="preserve">2,3</w:t>
                  </w:r>
                </w:p>
                <w:p>
                  <w:pPr/>
                  <w:r>
                    <w:rPr/>
                    <w:t xml:space="preserve">			</w:t>
                  </w:r>
                </w:p>
              </w:tc>
            </w:tr>
            <w:tr>
              <w:trPr/>
              <w:tc>
                <w:tcPr>
                  <w:tcW w:w="2055" w:type="dxa"/>
                  <w:noWrap/>
                </w:tcPr>
                <w:p>
                  <w:pPr/>
                  <w:r>
                    <w:rPr/>
                    <w:t xml:space="preserve">			</w:t>
                  </w:r>
                </w:p>
                <w:p>
                  <w:pPr>
                    <w:jc w:val="center"/>
                  </w:pPr>
                  <w:r>
                    <w:rPr/>
                    <w:t xml:space="preserve">Gidrazin</w:t>
                  </w:r>
                </w:p>
                <w:p>
                  <w:pPr/>
                  <w:r>
                    <w:rPr/>
                    <w:t xml:space="preserve">			</w:t>
                  </w:r>
                </w:p>
              </w:tc>
              <w:tc>
                <w:tcPr>
                  <w:tcW w:w="1380" w:type="dxa"/>
                  <w:noWrap/>
                </w:tcPr>
                <w:p>
                  <w:pPr/>
                  <w:r>
                    <w:rPr/>
                    <w:t xml:space="preserve">			</w:t>
                  </w:r>
                </w:p>
                <w:p>
                  <w:pPr>
                    <w:jc w:val="center"/>
                  </w:pPr>
                  <w:r>
                    <w:rPr/>
                    <w:t xml:space="preserve">mg/l</w:t>
                  </w:r>
                </w:p>
                <w:p>
                  <w:pPr/>
                  <w:r>
                    <w:rPr/>
                    <w:t xml:space="preserve">			</w:t>
                  </w:r>
                </w:p>
              </w:tc>
              <w:tc>
                <w:tcPr>
                  <w:tcW w:w="2070" w:type="dxa"/>
                  <w:noWrap/>
                </w:tcPr>
                <w:p>
                  <w:pPr/>
                  <w:r>
                    <w:rPr/>
                    <w:t xml:space="preserve">			</w:t>
                  </w:r>
                </w:p>
                <w:p>
                  <w:pPr>
                    <w:jc w:val="center"/>
                  </w:pPr>
                  <w:r>
                    <w:rPr/>
                    <w:t xml:space="preserve">ishlatilmaydi</w:t>
                  </w:r>
                </w:p>
                <w:p>
                  <w:pPr/>
                  <w:r>
                    <w:rPr/>
                    <w:t xml:space="preserve">			</w:t>
                  </w:r>
                </w:p>
              </w:tc>
              <w:tc>
                <w:tcPr>
                  <w:tcW w:w="1815" w:type="dxa"/>
                  <w:noWrap/>
                </w:tcPr>
                <w:p>
                  <w:pPr/>
                  <w:r>
                    <w:rPr/>
                    <w:t xml:space="preserve">			</w:t>
                  </w:r>
                </w:p>
                <w:p>
                  <w:pPr>
                    <w:jc w:val="center"/>
                  </w:pPr>
                  <w:r>
                    <w:rPr/>
                    <w:t xml:space="preserve">0,007</w:t>
                  </w:r>
                </w:p>
                <w:p>
                  <w:pPr/>
                  <w:r>
                    <w:rPr/>
                    <w:t xml:space="preserve">			</w:t>
                  </w:r>
                </w:p>
              </w:tc>
              <w:tc>
                <w:tcPr>
                  <w:tcW w:w="2070" w:type="dxa"/>
                  <w:noWrap/>
                </w:tcPr>
                <w:p>
                  <w:pPr/>
                  <w:r>
                    <w:rPr/>
                    <w:t xml:space="preserve">			</w:t>
                  </w:r>
                </w:p>
                <w:p>
                  <w:pPr>
                    <w:jc w:val="center"/>
                  </w:pPr>
                  <w:r>
                    <w:rPr/>
                    <w:t xml:space="preserve">0,03</w:t>
                  </w:r>
                </w:p>
                <w:p>
                  <w:pPr/>
                  <w:r>
                    <w:rPr/>
                    <w:t xml:space="preserve">			</w:t>
                  </w:r>
                </w:p>
              </w:tc>
            </w:tr>
          </w:tbl>
          <w:p>
            <w:pPr/>
            <w:r>
              <w:rPr/>
              <w:t xml:space="preserve"> </w:t>
            </w:r>
          </w:p>
          <w:p>
            <w:pPr/>
            <w:r>
              <w:rPr/>
              <w:t xml:space="preserve">Shuni alohida taʼkidlash kerakki, korxonaning ekologik tahlil (sanitariya) laboratoriyasi tahlillari natijalariga koʻra </w:t>
            </w:r>
            <w:r>
              <w:rPr>
                <w:b w:val="1"/>
                <w:bCs w:val="1"/>
              </w:rPr>
              <w:t xml:space="preserve">“</w:t>
            </w:r>
            <w:r>
              <w:rPr>
                <w:b w:val="1"/>
                <w:bCs w:val="1"/>
              </w:rPr>
              <w:t xml:space="preserve">Navoi</w:t>
            </w:r>
            <w:r>
              <w:rPr>
                <w:b w:val="1"/>
                <w:bCs w:val="1"/>
              </w:rPr>
              <w:t xml:space="preserve">ya</w:t>
            </w:r>
            <w:r>
              <w:rPr>
                <w:b w:val="1"/>
                <w:bCs w:val="1"/>
              </w:rPr>
              <w:t xml:space="preserve">zot</w:t>
            </w:r>
            <w:r>
              <w:rPr>
                <w:b w:val="1"/>
                <w:bCs w:val="1"/>
              </w:rPr>
              <w:t xml:space="preserve">”</w:t>
            </w:r>
            <w:r>
              <w:rPr>
                <w:b w:val="1"/>
                <w:bCs w:val="1"/>
              </w:rPr>
              <w:t xml:space="preserve"> AJdan boshqa korxonalar oqova suvlari tarkibida 0,03 mg/l va daryodan olingan nobud boʻlgan baliqlardan olingan suyuqlikda 0,1 mg/l gidrazin moddasi borligi aniqlandi. Gidrazin moddasining baliqlar yashaydigan suv havzasiga tashlanayotgan oqova suvlar tarkibida boʻlishi taqiqlanadi.</w:t>
            </w:r>
          </w:p>
          <w:p>
            <w:pPr/>
            <w:r>
              <w:rPr>
                <w:b w:val="1"/>
                <w:bCs w:val="1"/>
              </w:rPr>
              <w:t xml:space="preserve">“Navoiyazot” AJga qarashli 267-qudugʻiga tashlanadigan oqova suvlar tushadigan texnologik qurilmalarda gidrazin moddasi ishlatilmaydi va tahlillar natijasida ham bu modda mavjud emasligini koʻrish mumkin.</w:t>
            </w:r>
          </w:p>
          <w:p>
            <w:pPr/>
            <w:r>
              <w:rPr/>
              <w:t xml:space="preserve">Yana bir jihatga eʼtibor qaratish lozim. Baliq yetishtirish xoʻjaliklarida ozuqa uchun ammoniy moddalaridan foydalaniladigan baliq yetishtirishning intensiv texnologiyalari ham mavjud. Bunga misol qilib, baliq yetishtirishda ammofos oʻgʻiti ishlatilishi va uning tarkibida 46% fosfor hamda 12% ammoniy birikmalari mavjudligini keltirishimiz mumkin.</w:t>
            </w:r>
          </w:p>
          <w:p>
            <w:pPr/>
            <w:r>
              <w:rPr/>
              <w:t xml:space="preserve">Zarafshon daryosiga toʻgʻridan-toʻgʻri oqova suvlarning tashlanishini va kelgusida ham kuzatilishi mumkin boʻlgan bu kabi asossiz ayblovlarning oldini olish maqsadida “Navoiyazot” AJda barcha oqova suvlarni Biologik kimyoviy tozalash inshootiga yoʻnaltirish boʻyicha ishlar amalga oshirilmoqda.</w:t>
            </w:r>
          </w:p>
          <w:p>
            <w:pPr/>
            <w:r>
              <w:rPr/>
              <w:t xml:space="preserve">Hozirda Ekologiya va atrof-muhitni muhofaza qilish davlat qoʻmitasi, huquqni muhofaza qilish organlar, “Navoiyazot” AJ hamda Navoiy IES xodimlari bilan birgalikda barcha oqova suvlar tashlanadigan joylardan tahlil uchun namunalar olinib, sodir boʻlgan hodisa yuzasidan tekshiruv ishlari olib borilmoqda. Natijalari boʻyicha aniq maʼlumotlar tezkorlik bilan jamoatchilikka taqdim etib boriladi.</w:t>
            </w:r>
          </w:p>
          <w:p>
            <w:pPr/>
            <w:r>
              <w:rPr/>
              <w:t xml:space="preserve">Shu oʻrinda, ayrim OAV vakillari, blogerlar va ijtimoiy tarmoq faollaridan tahminlarga asoslangan, noaniq maʼlumotlarni tarqatmaslik va asossiz ayblovlardan yiroq boʻlishlarini soʻraymiz. Mavzu yuzasidan aniq, batafsil va tezkor maʼlumotlarni olish uchun “Oʻzkimyosanoat” AJ Matbuot xizmati bilan bogʻlanishingiz mumkin.  (+998 78 140 74 26)</w:t>
            </w:r>
          </w:p>
          <w:p>
            <w:pPr/>
            <w:r>
              <w:rPr/>
              <w:t xml:space="preserve">“Oʻzkimyosanoat” AJ ekologiya va atrof-muhit muhofazasiga alohida eʼtibor qaratadi va ustuvor vazifa deb biladi. Bu borada tizim korxonalarida muntazam monitoring oʻrnatish, kimyo sanoatida ekologik talablarga toʻliq javob beradigan zamonaviy texnologiyalar va “yashil energetikani” keng joriy qilish boʻyicha tizimli ishlar davom ettiriladi.</w:t>
            </w:r>
          </w:p>
          <w:p>
            <w:pPr/>
            <w:r>
              <w:rPr/>
              <w:t xml:space="preserve"> </w:t>
            </w:r>
          </w:p>
          <w:p>
            <w:pPr>
              <w:jc w:val="end"/>
            </w:pPr>
            <w:r>
              <w:rPr>
                <w:b w:val="1"/>
                <w:bCs w:val="1"/>
              </w:rPr>
              <w:t xml:space="preserve">“Oʻzkimyosanoat” AJ Matbuot xizmati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https://new.uzkimyosanoat.uz/oz/press/news/uzkimyosanoat-hamda-navoiyazot-aksiyadorlik-jamiyatlarining-rasmiy-bayonoti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