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5-sentabr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5-sentabr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https://new.uzkimyosanoat.uz/oz/press/news/birja20250905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