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Xarid komissiya a'zolarining ma'lumotlari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Xarid komissiya a’zolarining ma’lumotlari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ma</w:t>
                  </w:r>
                  <w:r>
                    <w:rPr>
                      <w:b w:val="1"/>
                      <w:bCs w:val="1"/>
                    </w:rPr>
                    <w:t xml:space="preserve">’</w:t>
                  </w:r>
                  <w:r>
                    <w:rPr>
                      <w:b w:val="1"/>
                      <w:bCs w:val="1"/>
                    </w:rPr>
                    <w:t xml:space="preserve">lumotlarni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taqdim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etuvchi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Yillik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Xarid, komissiya, a’zo, ma’lumot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Xarid komissiyasi a'zolarining ma'lumotlari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08.01.2024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Xarid komissiyasi a'zolarining ma'lumotlari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Xarid komissiyasi a'zolarining ma'lumotlari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04.03.2025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