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21-dekabr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Mehnatga oid xalqaro va milliy standartlar. Mehnat shartnomalarini tuzishda diskriminatsiyaga yo‘l qo‘ymaslik masalalari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Mehnatga oid xalqaro va milliy standartlar, yangi kiritilgan normalar hamda jinsiy zo‘ravonlik va kamsitishga yo‘l qo‘ymaslik masalalari: Xalqaro Mehnat Tashkilotining 190-sonli Konvensiyasi O‘zbekiston Respublikasining Konstitutsiyasi O‘zbekiston Respublikasining Mehnat kodeksi Mehnatga oid boshqa normativ va lokal hujjatlar.</w:t>
            </w:r>
          </w:p>
          <w:p>
            <w:pPr/>
            <w:r>
              <w:rPr/>
              <w:t xml:space="preserve">Ayrim toifadagi xodimlar: ayollar, voyaga yetmagan shaxslar, nogironligi belgilangan shaxslar mehnatini huquqiy jihatdan tartibga solishning o‘ziga xos xususiyatlari. Ishga joylashtirish, mehnat shartnomasini tuzish, muddatli mehnat shartnomalari</w:t>
            </w:r>
          </w:p>
          <w:p>
            <w:pPr/>
            <w:r>
              <w:rPr/>
              <w:t xml:space="preserve">Mehnat shartnomalarini tuzishda diskriminatsiyaga yo‘l qo‘ymaslik masalalari. Yangi MK bo‘yicha genderga oid huquqlarga rioya etgan holda ishga joylashtirish (xotin-qizlar, erkaklar, nogironligi belgilangan shaxslar, voyaga yetmaganlar va b.)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https://new.uzkimyosanoat.uz/oz/gender-equality/sessions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