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July 1, 2025</w:t>
      </w:r>
    </w:p>
    <w:p w14:paraId="65A7E376" w14:textId="29A957ED" w:rsidR="004D4932" w:rsidRPr="00A048F3" w:rsidRDefault="00A048F3" w:rsidP="00AD52D5">
      <w:pPr>
        <w:rPr>
          <w:b/>
          <w:sz w:val="32"/>
          <w:szCs w:val="28"/>
          <w:lang w:val="en-US"/>
        </w:rPr>
      </w:pPr>
      <w:bookmarkStart w:id="0" w:name="_GoBack"/>
      <w:r>
        <w:rPr>
          <w:b/>
          <w:sz w:val="32"/>
          <w:szCs w:val="28"/>
          <w:lang w:val="en-US"/>
        </w:rPr>
        <w:t>Youth Policy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Uzbekistan, the support and development of youth is a top national priority. Under the leadership of the President of the Republic of Uzbekistan, Shavkat Miromonovich Mirziyoyev, comprehensive efforts are being made to create the necessary conditions for education, employment, professional growth, and personal development of young people.</w:t>
            </w:r>
            <w:br/>
            <w:r>
              <w:rPr/>
              <w:t xml:space="preserve">The state is committed to providing wide-ranging opportunities for the younger generation to realize their intellectual, creative, and leadership potential. Initiatives in education, science, innovation, sports, culture, and entrepreneurship are actively supported.</w:t>
            </w:r>
            <w:br/>
            <w:r>
              <w:rPr/>
              <w:t xml:space="preserve">Particular attention is given to training young professionals and developing their potential within the system of JSC “Uzkimyosanoat” and its affiliated enterprises. Conditions are being created for young specialists to engage in scientific research, industrial activity, and the implementation of innovative solutions. This contributes to the effective growth of the sector and enhances its competitiveness both nationally and internationally.</w:t>
            </w:r>
            <w:br/>
            <w:r>
              <w:rPr/>
              <w:t xml:space="preserve">President of the Republic of Uzbekistan Shavkat Miromonovich Mirziyoyev consistently emphasizes the vital role of youth in building the country’s future. Regular meetings with young specialists, students, and activists provide a platform for open dialogue, allowing them to voice ideas, concerns, and suggestions. Such open and constructive communication helps cultivate a strong, educated, and patriotic generation.</w:t>
            </w:r>
            <w:br/>
            <w:r>
              <w:rPr/>
              <w:t xml:space="preserve">Today, Uzbekistan is nurturing a generation of proactive, ambitious, and responsible youth capable of making a meaningful contribution not only to society as a whole but also to the continued development of JSC “Uzkimyosanoat”. Supporting youth is an investment in the country’s future and remains one of the highest priorities of state policy.</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https://new.uzkimyosanoat.uz/en/youth/yoshlar-siyosati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