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November 24, 2023</w:t></w:r></w:p><w:p w14:paraId="65A7E376" w14:textId="29A957ED" w:rsidR="004D4932" w:rsidRPr="00A048F3" w:rsidRDefault="00A048F3" w:rsidP="00AD52D5"><w:pPr><w:rPr><w:b/><w:sz w:val="32"/><w:szCs w:val="28"/><w:lang w:val="en-US"/></w:rPr></w:pPr><w:bookmarkStart w:id="0" w:name="_GoBack"/><w:r><w:rPr><w:b/><w:sz w:val="32"/><w:szCs w:val="28"/><w:lang w:val="en-US"/></w:rPr><w:t>Invitation for Bids (IFB)</w:t></w:r></w:p><w:bookmarkEnd w:id="0"/><w:p w14:paraId="522BF26F" w14:textId="3F0F523B" w:rsidR="00A048F3" w:rsidRDefault="00A048F3"><w:pPr><w:rPr><w:sz w:val="28"/><w:szCs w:val="28"/><w:lang w:val="ru-RU"/></w:rPr></w:pPr></w:p><w:tbl>
  <w:tblGrid>
    <w:gridCol/>
  </w:tblGrid>
  <w:tr>
    <w:trPr/>
    <w:tc>
      <w:tcPr>
        <w:noWrap/>
      </w:tcPr>
      <w:p>
        <w:pPr/>
        <w:r>
          <w:rPr/>
          <w:t xml:space="preserve">Invitation for Bids (IFB) </w:t>
        </w:r>
      </w:p>
      <w:p>
        <w:pPr/>
        <w:r>
          <w:rPr/>
          <w:t xml:space="preserve">November 24, 2023</w:t>
        </w:r>
      </w:p>
      <w:p>
        <w:pPr/>
        <w:r>
          <w:rPr/>
          <w:t xml:space="preserve">The Republic of Uzbekistan</w:t>
        </w:r>
      </w:p>
      <w:p>
        <w:pPr/>
        <w:r>
          <w:rPr/>
          <w:t xml:space="preserve">Construction and Supply for </w:t>
        </w:r>
      </w:p>
      <w:p>
        <w:pPr/>
        <w:r>
          <w:rPr/>
          <w:t xml:space="preserve">The Establishment of R&D and Design Institute - Center of Chemical Technology Project</w:t>
        </w:r>
      </w:p>
      <w:p>
        <w:pPr/>
        <w:r>
          <w:rPr/>
          <w:t xml:space="preserve">Loan No. UZB-14</w:t>
        </w:r>
      </w:p>
      <w:p>
        <w:pPr/>
        <w:r>
          <w:rPr/>
          <w:t xml:space="preserve">1.The Government of the Republic of Uzbekistan has received  a Loan from the Export-Import Bank of Korea (the “Bank”) from the resources of the Economic Development Cooperation Fund (EDCF) of the Republic of Korea in the amount of US Dollar Forty Million (USD 40,000,000) toward the cost of </w:t>
        </w:r>
        <w:r>
          <w:rPr>
            <w:i w:val="1"/>
            <w:iCs w:val="1"/>
          </w:rPr>
          <w:t xml:space="preserve">The Establishment of R&D and Design Institute - Center of Chemical Technology Project</w:t>
        </w:r>
        <w:r>
          <w:rPr/>
          <w:t xml:space="preserve"> (the “Project”) and intends to apply a portion of the proceeds of this loan to payments under the contract for </w:t>
        </w:r>
        <w:r>
          <w:rPr>
            <w:i w:val="1"/>
            <w:iCs w:val="1"/>
          </w:rPr>
          <w:t xml:space="preserve">Construction and Supply for The Establishment of R&D and Design Institute - Center of Chemical Technology Project.</w:t>
        </w:r>
      </w:p>
      <w:p>
        <w:pPr/>
        <w:r>
          <w:rPr/>
          <w:t xml:space="preserve">2. “Uzkimyosanoat” Joint Stock Company (the “Employer”) now invites sealed bids from eligible bidders for the following Procurement for the Project.</w:t>
        </w:r>
      </w:p>
      <w:p>
        <w:pPr/>
        <w:r>
          <w:rPr/>
          <w:t xml:space="preserve">(i) Construction works </w:t>
        </w:r>
      </w:p>
      <w:p>
        <w:pPr/>
        <w:r>
          <w:rPr/>
          <w:t xml:space="preserve">- Research Centers (Laboratories), Administrative & Supporting Facilities and other utilities with total gross floor area of 16,539m²; and</w:t>
        </w:r>
      </w:p>
      <w:p>
        <w:pPr/>
        <w:r>
          <w:rPr/>
          <w:t xml:space="preserve">(ii) Supply and Installation of Equipment</w:t>
        </w:r>
      </w:p>
      <w:p>
        <w:pPr/>
        <w:r>
          <w:rPr/>
          <w:t xml:space="preserve">- Supply and Installation of Equipment (analysis equipment & experimental equipment</w:t>
        </w:r>
      </w:p>
      <w:p>
        <w:pPr/>
        <w:r>
          <w:rPr/>
          <w:t xml:space="preserve">- Staff training on the use of equipment; and</w:t>
        </w:r>
      </w:p>
      <w:p>
        <w:pPr/>
        <w:r>
          <w:rPr/>
          <w:t xml:space="preserve">(iii) Training  </w:t>
        </w:r>
      </w:p>
      <w:p>
        <w:pPr/>
        <w:r>
          <w:rPr/>
          <w:t xml:space="preserve">- R&D staff (Research & Operation personnel) training in Korea to support operation of the chemical R&D center in the initial stage.</w:t>
        </w:r>
      </w:p>
      <w:p>
        <w:pPr/>
        <w:r>
          <w:rPr/>
          <w:t xml:space="preserve">More detailed information of scope of works is described in ‘Section VI. Work Requirement, PART 2 – Works Requirements’</w:t>
        </w:r>
      </w:p>
      <w:p>
        <w:pPr/>
        <w:r>
          <w:rPr/>
          <w:t xml:space="preserve">3. Bidding will be conducted through Competitive Bidding (CB) procedures specified in the Guideline for Procurement under EDCF Loans, and is open to all eligible bidders that meet the following minimum qualification criteria. The more details about qualification criteria is described in Section III Evaluation and Qualification Criteria.</w:t>
        </w:r>
      </w:p>
      <w:p>
        <w:pPr/>
        <w:r>
          <w:rPr/>
          <w:t xml:space="preserve">(a) The Bidders and the other partners constituting the Bidders shall have the nationality of the Republic of Korea. The Bidder may form a Joint Venture or Association (JVA), which shall include at least construction firm(s) and Equipment supplier. For the services of Training, the Bidder may subcontract the services.</w:t>
        </w:r>
      </w:p>
      <w:p>
        <w:pPr/>
        <w:r>
          <w:rPr/>
          <w:t xml:space="preserve">(b) Single entity or each partner of JVA must meet the requirements that all pending litigations shall be treated as resolved against the Bidder and so shall in total not represent                 more than fifty percent (50%) of the net worth.</w:t>
        </w:r>
      </w:p>
      <w:p>
        <w:pPr/>
        <w:r>
          <w:rPr/>
          <w:t xml:space="preserve">(c) Single entity or each partner of JVA must meet the requirements that (i) average net worth and (ii) average net profit for the last three years (2020, 2021, 2022) shall be                       positive (+). For construction firm, and average debt-equity ratio shall be less than 200% for last three years (2020, 2021, 2022).</w:t>
        </w:r>
      </w:p>
      <w:p>
        <w:pPr/>
        <w:r>
          <w:rPr/>
          <w:t xml:space="preserve">(d) For construction firm(s) of single entity or construction partner(s) of JVA </w:t>
        </w:r>
      </w:p>
      <w:p>
        <w:pPr/>
        <w:r>
          <w:rPr/>
          <w:t xml:space="preserve">(i) Average annual turnover of USD 200,000,000 calculated as total certified payments received for contracts in progress or completed, within last three (3) years, i.e. 2020,                     2021, 2022.</w:t>
        </w:r>
      </w:p>
      <w:p>
        <w:pPr/>
        <w:r>
          <w:rPr/>
          <w:t xml:space="preserve"> - At least, each partner must meet more than twenty five percent (25%) of the requirement and any one partner must meet more than forty percent (40%) of the requirement.</w:t>
        </w:r>
      </w:p>
      <w:p>
        <w:pPr/>
        <w:r>
          <w:rPr/>
          <w:t xml:space="preserve">(ii) Cash-flow requirement of USD 10,000,000 or more</w:t>
        </w:r>
      </w:p>
      <w:p>
        <w:pPr/>
        <w:r>
          <w:rPr/>
          <w:t xml:space="preserve">- At least, each partner must meet more than twenty five percent (25%) of the requirement and any one partner must meet more than forty percent (40%) of the requirement.</w:t>
        </w:r>
      </w:p>
      <w:p>
        <w:pPr/>
        <w:r>
          <w:rPr/>
          <w:t xml:space="preserve">(iii) At least one (1) general building construction work which was successfully completed outside the bidder’s country in the role of main contractor, of which value amounts to USD 15,000,000 or more in last ten (10) years prior to the bid submission deadline. At least, one (1) construction partner shall meet this requirement.</w:t>
        </w:r>
      </w:p>
      <w:p>
        <w:pPr/>
        <w:r>
          <w:rPr/>
          <w:t xml:space="preserve">(iv) At least one (1) similar construction work of 1) Educational or 2) Research or 3) Office building which was successfully completed in or outside the bidder’s country in the role of main contractor, of which value amounts to USD 15,000,000 or more in last ten (10) years prior to the bid submission deadline. At least, one (1) construction partner shall meet this requirement.</w:t>
        </w:r>
      </w:p>
      <w:p>
        <w:pPr/>
        <w:r>
          <w:rPr/>
          <w:t xml:space="preserve">(v)  At least one (1) similar construction work of 1) Educational or 2) Research or 3) Office building with gross floor area of more than 15,000 m2 which were successfully completed in or outside the bidder’s country as main contractor in last ten (10) years prior to the bid submission deadline. At least, one (1) construction partner shall meet this requirement.</w:t>
        </w:r>
      </w:p>
      <w:p>
        <w:pPr/>
        <w:r>
          <w:rPr/>
          <w:t xml:space="preserve"> </w:t>
        </w:r>
      </w:p>
      <w:p>
        <w:pPr/>
        <w:r>
          <w:rPr/>
          <w:t xml:space="preserve">e. For Equipment supplier(i) Average annual turnover of USD 30,000,000 calculated as total certified payments received for contracts in progress or completed, within last three (3) years, i.e. 2020, 2021, 2022.</w:t>
        </w:r>
      </w:p>
      <w:p>
        <w:pPr/>
        <w:r>
          <w:rPr/>
          <w:t xml:space="preserve">- At least, each partner must meet more than twenty five percent (25%) of the requirement and any one partner must meet more than forty percent (40%) of the requirement.</w:t>
        </w:r>
      </w:p>
      <w:p>
        <w:pPr/>
        <w:r>
          <w:rPr/>
          <w:t xml:space="preserve">(ii) Cash-flow requirement of USD 5,000,000 or more</w:t>
        </w:r>
      </w:p>
      <w:p>
        <w:pPr/>
        <w:r>
          <w:rPr/>
          <w:t xml:space="preserve">- At least, each partner must meet more than twenty five percent (25%) of the requirement and any one partner must meet more than forty percent (40%) of the requirement.</w:t>
        </w:r>
      </w:p>
      <w:p>
        <w:pPr/>
        <w:r>
          <w:rPr/>
          <w:t xml:space="preserve">(iii) At least one (1) contract for the supply and installation of educational and/or equipment in or outside of the bidder’s country, of which amounts to USD 7,000,000 or more within the last ten (10) years prior to the bid submission deadline.</w:t>
        </w:r>
      </w:p>
      <w:p>
        <w:pPr/>
        <w:r>
          <w:rPr/>
          <w:t xml:space="preserve"> (f) The Bidder must demonstrate that it has the personnel for the key positions of Construction Works, Supply and Installation of Educational & Research Equipment, and Training. The more details about its qualification criteria is specified in Section III. Evaluation and Qualification.</w:t>
        </w:r>
      </w:p>
      <w:p>
        <w:pPr/>
        <w:r>
          <w:rPr/>
          <w:t xml:space="preserve">(g) The Bidder must demonstrate that it has the Key equipment for Construction Works, and Supply and Installation of Educational & Research Equipment. The more details about its qualification criteria is specified in Section III. Evaluation and Qualification.</w:t>
        </w:r>
      </w:p>
      <w:p>
        <w:pPr/>
        <w:r>
          <w:rPr/>
          <w:t xml:space="preserve"> 4.This Bid is ‘Single-Stage, Two-Envelop’ method. Detailed procedure is described and defined in Section I. Instructions to Bidders of PART I - Bidding Procedure.</w:t>
        </w:r>
      </w:p>
      <w:p>
        <w:pPr/>
        <w:r>
          <w:rPr/>
          <w:t xml:space="preserve"> 5.Interested eligible Bidders may obtain further information from the Employer and inspect the bidding documents at the address below from 09:00 to 17:00 hours in working days of  the Republic of Uzbekistan from January 08, 2024.</w:t>
        </w:r>
      </w:p>
      <w:p>
        <w:pPr/>
        <w:r>
          <w:rPr/>
          <w:t xml:space="preserve">6.A complete set of bidding documents may be purchased by any interested Bidders on the submission of a written application in person or by e-mail to </w:t>
        </w:r>
        <w:hyperlink r:id="rId7" w:history="1">
          <w:r>
            <w:rPr/>
            <w:t xml:space="preserve">uzcct@uks.uz</w:t>
          </w:r>
        </w:hyperlink>
        <w:r>
          <w:rPr/>
          <w:t xml:space="preserve"> and upon payment of a nonrefundable fee of USD 300 to the below bank.</w:t>
        </w:r>
      </w:p>
      <w:p>
        <w:pPr/>
        <w:r>
          <w:rPr/>
          <w:t xml:space="preserve"> Bank Name: “UZPROMSTROYBANK” JSCB               </w:t>
        </w:r>
      </w:p>
      <w:p>
        <w:pPr/>
        <w:r>
          <w:rPr/>
          <w:t xml:space="preserve"> Address:  “UZPROMSTROYBANK” JSCB Uzbekistan, 100000, Tashkent, Yunusabad district, Shahrisabz, str., 3</w:t>
        </w:r>
      </w:p>
      <w:p>
        <w:pPr/>
        <w:r>
          <w:rPr/>
          <w:t xml:space="preserve"> Branch Name:</w:t>
        </w:r>
      </w:p>
      <w:p>
        <w:pPr/>
        <w:r>
          <w:rPr/>
          <w:t xml:space="preserve"> Account Name:</w:t>
        </w:r>
      </w:p>
      <w:p>
        <w:pPr/>
        <w:r>
          <w:rPr/>
          <w:t xml:space="preserve"> Account Number: 20 208 840 805 361 640 001</w:t>
        </w:r>
      </w:p>
      <w:p>
        <w:pPr/>
        <w:r>
          <w:rPr/>
          <w:t xml:space="preserve"> SWIFT Code: UJSIUZ22</w:t>
        </w:r>
      </w:p>
      <w:p>
        <w:pPr/>
        <w:r>
          <w:rPr/>
          <w:t xml:space="preserve">Once the application is received and the payment is confirmed, the Employer will send out the bidding document to the bidders in person or to the bidder’s email address stated in the application within 2 days from receipt of the payment. Bidding documents will be available from November 27, 2023. Bid announcement will be advertised in public through at least one (1) newspaper of general circulation in the Employer’s country and the copy of announcement shall be submitted to the Bank.</w:t>
        </w:r>
      </w:p>
      <w:p>
        <w:pPr/>
        <w:r>
          <w:rPr/>
          <w:t xml:space="preserve">7. Bids must be delivered in person to the address below at or before 15:00, January 08, 2024 Tashkent time.</w:t>
        </w:r>
      </w:p>
      <w:p>
        <w:pPr/>
        <w:r>
          <w:rPr/>
          <w:t xml:space="preserve">All bids must be accompanied by a bid security amounting to USD 600,000 with validity of 148 days from bid submission date. Late bids shall be rejected. Bids will be opened in the presence of the Bidder’s representatives who choose to attend at the address below at 15:30, January 08, 2024, Tashkent time.</w:t>
        </w:r>
      </w:p>
      <w:p>
        <w:pPr/>
        <w:r>
          <w:rPr/>
          <w:t xml:space="preserve">The Employer will not be responsible for any costs or expenses incurred by Bidders in connection with the preparation or delivery of Bids.</w:t>
        </w:r>
      </w:p>
      <w:p>
        <w:pPr/>
        <w:r>
          <w:rPr>
            <w:b w:val="1"/>
            <w:bCs w:val="1"/>
          </w:rPr>
          <w:t xml:space="preserve">Name of Office: “Uzkimyosanoat” Joint Stock Company</w:t>
        </w:r>
      </w:p>
      <w:p>
        <w:pPr/>
        <w:r>
          <w:rPr>
            <w:b w:val="1"/>
            <w:bCs w:val="1"/>
          </w:rPr>
          <w:t xml:space="preserve">Attention:  Mr. Akmalkhon Makhmudov</w:t>
        </w:r>
      </w:p>
      <w:p>
        <w:pPr/>
        <w:r>
          <w:rPr>
            <w:b w:val="1"/>
            <w:bCs w:val="1"/>
          </w:rPr>
          <w:t xml:space="preserve">Address: 38 Navoiy Street, Tashkent, Uzbekistan, 100011</w:t>
        </w:r>
      </w:p>
      <w:p>
        <w:pPr/>
        <w:r>
          <w:rPr>
            <w:b w:val="1"/>
            <w:bCs w:val="1"/>
          </w:rPr>
          <w:t xml:space="preserve">Tel: +998 781407475</w:t>
        </w:r>
        <w:r>
          <w:rPr>
            <w:b w:val="1"/>
            <w:bCs w:val="1"/>
          </w:rPr>
          <w:t xml:space="preserve"> / +998 9</w:t>
        </w:r>
        <w:r>
          <w:rPr>
            <w:b w:val="1"/>
            <w:bCs w:val="1"/>
          </w:rPr>
          <w:t xml:space="preserve">7</w:t>
        </w:r>
        <w:r>
          <w:rPr>
            <w:b w:val="1"/>
            <w:bCs w:val="1"/>
          </w:rPr>
          <w:t xml:space="preserve">1</w:t>
        </w:r>
        <w:r>
          <w:rPr>
            <w:b w:val="1"/>
            <w:bCs w:val="1"/>
          </w:rPr>
          <w:t xml:space="preserve">3</w:t>
        </w:r>
        <w:r>
          <w:rPr>
            <w:b w:val="1"/>
            <w:bCs w:val="1"/>
          </w:rPr>
          <w:t xml:space="preserve">6</w:t>
        </w:r>
        <w:r>
          <w:rPr>
            <w:b w:val="1"/>
            <w:bCs w:val="1"/>
          </w:rPr>
          <w:t xml:space="preserve">3</w:t>
        </w:r>
        <w:r>
          <w:rPr>
            <w:b w:val="1"/>
            <w:bCs w:val="1"/>
          </w:rPr>
          <w:t xml:space="preserve">50</w:t>
        </w:r>
        <w:r>
          <w:rPr>
            <w:b w:val="1"/>
            <w:bCs w:val="1"/>
          </w:rPr>
          <w:t xml:space="preserve">7</w:t>
        </w:r>
        <w:r>
          <w:rPr>
            <w:b w:val="1"/>
            <w:bCs w:val="1"/>
          </w:rPr>
          <w:t xml:space="preserve"> Fax: +998 78 1407401</w:t>
        </w:r>
      </w:p>
      <w:p>
        <w:pPr/>
        <w:r>
          <w:rPr>
            <w:b w:val="1"/>
            <w:bCs w:val="1"/>
          </w:rPr>
          <w:t xml:space="preserve">Email: </w:t>
        </w:r>
        <w:hyperlink r:id="rId7" w:history="1">
          <w:r>
            <w:rPr/>
            <w:t xml:space="preserve">uzcct@uks.uz</w:t>
          </w:r>
        </w:hyperlink>
      </w:p>
      <w:p>
        <w:pPr/>
        <w:r>
          <w:rPr/>
          <w:t xml:space="preserve"> </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Joint Stock Company "Uzkimyosanoat"</w:t></w:r></w:p><w:p w14:paraId="71C6122F" w14:textId="01C0B5C7" w:rsidR="004E4FEA" w:rsidRPr="00DD7CD9" w:rsidRDefault="004E4FEA" w:rsidP="004E4FEA"><w:pPr><w:rPr><w:i/><w:iCs/><w:lang w:val="ru-RU"/></w:rPr></w:pPr><w:r w:rsidRPr="00DD7CD9"><w:rPr><w:i/><w:iCs/><w:lang w:val="ru-RU"/></w:rPr><w:t>https://new.uzkimyosanoat.uz/en/press/tender/invitation-for-bids-ifb</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