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21, 2025</w:t>
      </w:r>
    </w:p>
    <w:p w14:paraId="65A7E376" w14:textId="29A957ED" w:rsidR="004D4932" w:rsidRPr="00A048F3" w:rsidRDefault="00A048F3" w:rsidP="00AD52D5">
      <w:pPr>
        <w:rPr>
          <w:b/>
          <w:sz w:val="32"/>
          <w:szCs w:val="28"/>
          <w:lang w:val="en-US"/>
        </w:rPr>
      </w:pPr>
      <w:bookmarkStart w:id="0" w:name="_GoBack"/>
      <w:r>
        <w:rPr>
          <w:b/>
          <w:sz w:val="32"/>
          <w:szCs w:val="28"/>
          <w:lang w:val="en-US"/>
        </w:rPr>
        <w:t>Training Courses for Anti-Corruption Specialists and Compliance Managers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On March 5, 2025, in line with the tasks set during the expanded meeting of the National Anti-Corruption Council chaired by the Head of State, the Anti-Corruption Agency organized intensive training courses aimed at strengthening internal anti-corruption controls in government bodies and organizations, as well as enhancing the capacity of compliance monitoring divisions.</w:t>
            </w:r>
          </w:p>
          <w:p>
            <w:pPr>
              <w:jc w:val="both"/>
            </w:pPr>
            <w:r>
              <w:rPr/>
              <w:t xml:space="preserve">The leaders and employees of the Anti-Corruption and Compliance Department of JSC "Uzkimyosanoat" are also participating in this training seminar.</w:t>
            </w:r>
          </w:p>
          <w:p>
            <w:pPr>
              <w:jc w:val="both"/>
            </w:pPr>
            <w:r>
              <w:rPr/>
              <w:t xml:space="preserve">As part of the training program, industry experts are conducting sessions on managing conflicts of interest, assessing the resilience of public servants to corruption risks, and applying international practices to mitigate these risks in a practical manner.</w:t>
            </w:r>
          </w:p>
          <w:p>
            <w:pPr>
              <w:jc w:val="both"/>
            </w:pPr>
            <w:r>
              <w:rPr/>
              <w:t xml:space="preserve">Anti-corruption efforts are not only of legal and economic importance but also respond to society's demand for trust and fairness. Preventing corruption and effectively fighting it ensures the efficient operation of government institutions, equitable resource distribution, and the provision of quality services to the public.</w:t>
            </w:r>
          </w:p>
          <w:p>
            <w:pPr>
              <w:jc w:val="both"/>
            </w:pPr>
            <w:r>
              <w:rPr/>
              <w:t xml:space="preserve">This, in turn, contributes to sustainable economic development and the formation of a fair and transparent governance system within society.</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https://new.uzkimyosanoat.uz/en/press/news/training-courses-for-anti-corruption-specialists-and-complia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