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October 28, 2025</w:t>
      </w:r>
    </w:p>
    <w:p w14:paraId="65A7E376" w14:textId="29A957ED" w:rsidR="004D4932" w:rsidRPr="00A048F3" w:rsidRDefault="00A048F3" w:rsidP="00AD52D5">
      <w:pPr>
        <w:rPr>
          <w:b/>
          <w:sz w:val="32"/>
          <w:szCs w:val="28"/>
          <w:lang w:val="en-US"/>
        </w:rPr>
      </w:pPr>
      <w:bookmarkStart w:id="0" w:name="_GoBack"/>
      <w:r>
        <w:rPr>
          <w:b/>
          <w:sz w:val="32"/>
          <w:szCs w:val="28"/>
          <w:lang w:val="en-US"/>
        </w:rPr>
        <w:t>JSC “Uzkimyosanoat” and NEXTCHEM launch a carbon capture and storage project in Uzbekistan.</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As part of the official visit of the President of the Republic of Uzbekistan, Shavkat Mirziyoyev, to the business forum “Uzbekistan Economic Days in Europe” in the Belgian capital, a Memorandum of Understanding was signed between JSC “Uzkimyosanoat” and NEXTCHEM (a subsidiary of the MAIRE group) on the implementation of carbon capture and storage (CCS) technology in Uzbekistan.</w:t>
            </w:r>
          </w:p>
          <w:p>
            <w:pPr>
              <w:jc w:val="both"/>
            </w:pPr>
            <w:r>
              <w:rPr/>
              <w:t xml:space="preserve">The agreement aims to support the state policy on decarbonization and the development of “green” energy, reduce industrial emissions, and strengthen the country’s environmental sustainability. As part of the cooperation, a joint working group will be established to prepare a feasibility study for the implementation of carbon capture and storage technology based on NEXTCHEM’s advanced Nx decarb™ technology. The project contributes to the development of sustainable production in Uzbekistan’s chemical industry and the formation of infrastructure that meets international environmental standards. Experts note that this strategic partnership will be an important step toward improving industrial energy efficiency, reducing greenhouse gas emissions, and steering the country toward sustainable development.</w:t>
            </w:r>
          </w:p>
          <w:p>
            <w:pPr>
              <w:jc w:val="both"/>
            </w:pPr>
            <w:r>
              <w:rPr/>
              <w:t xml:space="preserve">The initiative also supports the practical implementation of Uzbekistan’s “green economy” concept, the use of advanced technologies, and the deepening of international scientific and technical cooperation.</w:t>
            </w:r>
          </w:p>
          <w:p>
            <w:pPr/>
            <w:r>
              <w:rPr>
                <w:b w:val="1"/>
                <w:bCs w:val="1"/>
              </w:rPr>
              <w:t xml:space="preserve">Press Service of JSC “Uzkimyosanoat”</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https://new.uzkimyosanoat.uz/en/press/news/jsc-uzkimyosanoat-and-nextchem-launch-a-carbon-capture-and-s</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