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28, 2026</w:t>
      </w:r>
    </w:p>
    <w:p w14:paraId="65A7E376" w14:textId="29A957ED" w:rsidR="004D4932" w:rsidRPr="00A048F3" w:rsidRDefault="00A048F3" w:rsidP="00AD52D5">
      <w:pPr>
        <w:rPr>
          <w:b/>
          <w:sz w:val="32"/>
          <w:szCs w:val="28"/>
          <w:lang w:val="en-US"/>
        </w:rPr>
      </w:pPr>
      <w:bookmarkStart w:id="0" w:name="_GoBack"/>
      <w:r>
        <w:rPr>
          <w:b/>
          <w:sz w:val="32"/>
          <w:szCs w:val="28"/>
          <w:lang w:val="en-US"/>
        </w:rPr>
        <w:t>Guarantee of efficiency of modern transport vehicles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As is well known, modern trucks are distinguished by fuel efficiency, compliance with environmental standards, and ease of maintenance. Such transport vehicles contribute to further increasing the operational efficiency of the enterprise.</w:t>
            </w:r>
          </w:p>
          <w:p>
            <w:pPr>
              <w:jc w:val="both"/>
            </w:pPr>
            <w:r>
              <w:rPr/>
              <w:t xml:space="preserve">The Company has purchased two vehicles designed for transporting loads of more than 10 tons. This capability is important not only for ensuring safety, but also for maintaining economic stability. The trucks provide comfort for drivers and help save funds by optimizing transportation costs.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https://new.uzkimyosanoat.uz/en/press/news/guarantee-of-efficiency-of-modern-transport-vehicles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