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August 5, 2025</w:t>
      </w:r>
    </w:p>
    <w:p w14:paraId="65A7E376" w14:textId="29A957ED" w:rsidR="004D4932" w:rsidRPr="00A048F3" w:rsidRDefault="00A048F3" w:rsidP="00AD52D5">
      <w:pPr>
        <w:rPr>
          <w:b/>
          <w:sz w:val="32"/>
          <w:szCs w:val="28"/>
          <w:lang w:val="en-US"/>
        </w:rPr>
      </w:pPr>
      <w:bookmarkStart w:id="0" w:name="_GoBack"/>
      <w:r>
        <w:rPr>
          <w:b/>
          <w:sz w:val="32"/>
          <w:szCs w:val="28"/>
          <w:lang w:val="en-US"/>
        </w:rPr>
        <w:t>A training seminar on gender equality held in the capital</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Today, a training seminar for consultative councils was held in the capital on the topic “Further Expansion of Equal Rights and Opportunities for Women and Men,” organized by the Committee on Family and Women Affairs with the support of the Asian Development Bank’s Representative Office in Uzbekistan.</w:t>
            </w:r>
          </w:p>
          <w:p>
            <w:pPr>
              <w:jc w:val="both"/>
            </w:pPr>
            <w:r>
              <w:rPr/>
              <w:t xml:space="preserve">The seminar was conducted within the framework of technical assistance aimed at strengthening Uzbekistan’s gender capacity and was dedicated to integrating the gender approach into the activities of consultative councils working to ensure equal rights and opportunities for women and men.</w:t>
            </w:r>
          </w:p>
          <w:p>
            <w:pPr>
              <w:jc w:val="both"/>
            </w:pPr>
            <w:r>
              <w:rPr/>
              <w:t xml:space="preserve">The event was attended by members of consultative councils established in ministries and agencies to address gender equality issues, as well as officials responsible for women's affairs.</w:t>
            </w:r>
          </w:p>
          <w:p>
            <w:pPr>
              <w:jc w:val="both"/>
            </w:pPr>
            <w:r>
              <w:rPr/>
              <w:t xml:space="preserve">Representatives of JSC “Uzkimyosanoat” also took part in the event.</w:t>
            </w:r>
          </w:p>
          <w:p>
            <w:pPr>
              <w:jc w:val="both"/>
            </w:pPr>
            <w:r>
              <w:rPr>
                <w:b w:val="1"/>
                <w:bCs w:val="1"/>
              </w:rPr>
              <w:t xml:space="preserve">Press Service of JSC “Uzkimyosanoat”</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https://new.uzkimyosanoat.uz/en/press/news/a-training-seminar-on-gender-equality-held-in-the-capital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