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19,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Establishing Green Hydrogen Production in Tashkent Region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The purpose of the project:</w:t>
            </w:r>
            <w:r>
              <w:rPr/>
              <w:t xml:space="preserve"> To apply the latest technological advancements to establish the production of 3,000 tons of green hydrogen annually from eco-friendly raw materials that can replace natural gas. This project ensures both high profitability and a solid foundation for the widespread adoption of green technologies in the national chemical industry, particularly in the production of mineral fertilizers. </w:t>
            </w:r>
            <w:br/>
            <w:r>
              <w:rPr/>
              <w:t xml:space="preserve">•    In addition, it contributes to the energy independence of enterprises and aligns industrial processes with environmental objectives.</w:t>
            </w:r>
            <w:br/>
            <w:r>
              <w:rPr/>
              <w:t xml:space="preserve">•    The project cost amounts to USD 88 million.</w:t>
            </w:r>
            <w:br/>
            <w:r>
              <w:rPr>
                <w:b w:val="1"/>
                <w:bCs w:val="1"/>
              </w:rPr>
              <w:t xml:space="preserve">Key expected outcomes of the project:</w:t>
            </w:r>
            <w:br/>
            <w:r>
              <w:rPr/>
              <w:t xml:space="preserve">• Project capacity: 3,000 tons per year</w:t>
            </w:r>
            <w:br/>
            <w:r>
              <w:rPr/>
              <w:t xml:space="preserve">• Product: Green hydrogen</w:t>
            </w:r>
            <w:br/>
            <w:r>
              <w:rPr/>
              <w:t xml:space="preserve">• Investor: “ACWA Power” (Saudi Arabia)</w:t>
            </w:r>
            <w:br/>
            <w:r>
              <w:rPr/>
              <w:t xml:space="preserve">• Jobs to be created: 35 positions</w:t>
            </w:r>
            <w:br/>
            <w:r>
              <w:rPr/>
              <w:t xml:space="preserve">• Contractor: “Power China Huadong Engineering” (China)</w:t>
            </w:r>
            <w:br/>
            <w:r>
              <w:rPr/>
              <w:t xml:space="preserve">• Project implementation period: 2023 – 2025</w:t>
            </w:r>
            <w:br/>
            <w:r>
              <w:rPr/>
              <w:t xml:space="preserve">• Generation capacity: 52 MW (wind energy)</w:t>
            </w:r>
          </w:p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https://new.uzkimyosanoat.uz/en/investment/investment-projects/toshkent-viloyatida-yashil-vodorod-ishlab-chiqarishni-tashkil-etish-loyihasi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