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22,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Executive agency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</w:t>
                  </w:r>
                  <w:r>
                    <w:rPr>
                      <w:b w:val="1"/>
                      <w:bCs w:val="1"/>
                    </w:rPr>
                    <w:t xml:space="preserve">/</w:t>
                  </w:r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</w:t>
                  </w:r>
                  <w:r>
                    <w:rPr>
                      <w:b w:val="1"/>
                      <w:bCs w:val="1"/>
                    </w:rPr>
                    <w:t xml:space="preserve">ull nam</w:t>
                  </w:r>
                  <w:r>
                    <w:rPr>
                      <w:b w:val="1"/>
                      <w:bCs w:val="1"/>
                    </w:rPr>
                    <w:t xml:space="preserve">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Work place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Position</w:t>
                  </w:r>
                </w:p>
              </w:tc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Owned shares</w:t>
                  </w:r>
                </w:p>
              </w:tc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Work in other organizations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type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quantity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Work place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Position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Temirov Odil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“Uzkimyosanoat”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Chairman of the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Korjikov Evgeniy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“Uzkimyosanoat”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First deputy chairman of the Management board for production, localization, expansion of cooperation in industry and optimization of imports, member of the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Mustafayev Jaxongir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“Uzkimyosanoat”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First deputy chairman of the Management board for financial, economic and transformation issues, member of the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Kurbanov Akbar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“Uzkimyosanoat”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Deputy chairman of the Management board for investment activities, member of the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Giorgio Veronesi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“Uzkimyosanoat”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Advisor to the chairman of the board on investment issues, member of the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https://new.uzkimyosanoat.uz/en/corporate/topmanagement/executive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