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September 11, 2018</w:t>
      </w:r>
    </w:p>
    <w:p w14:paraId="65A7E376" w14:textId="29A957ED" w:rsidR="004D4932" w:rsidRPr="00A048F3" w:rsidRDefault="00A048F3" w:rsidP="00AD52D5">
      <w:pPr>
        <w:rPr>
          <w:b/>
          <w:sz w:val="32"/>
          <w:szCs w:val="28"/>
          <w:lang w:val="en-US"/>
        </w:rPr>
      </w:pPr>
      <w:bookmarkStart w:id="0" w:name="_GoBack"/>
      <w:r>
        <w:rPr>
          <w:b/>
          <w:sz w:val="32"/>
          <w:szCs w:val="28"/>
          <w:lang w:val="en-US"/>
        </w:rPr>
        <w:t>Proposed distribution of net profit for 2019</w:t>
      </w:r>
    </w:p>
    <w:bookmarkEnd w:id="0"/>
    <w:p w14:paraId="522BF26F" w14:textId="3F0F523B" w:rsidR="00A048F3" w:rsidRDefault="00A048F3">
      <w:pPr>
        <w:rPr>
          <w:sz w:val="28"/>
          <w:szCs w:val="28"/>
          <w:lang w:val="ru-RU"/>
        </w:rPr>
      </w:pPr>
    </w:p>
    <w:tbl>
      <w:tblGrid>
        <w:gridCol/>
      </w:tblGrid>
      <w:tr>
        <w:trPr/>
        <w:tc>
          <w:tcPr>
            <w:noWrap/>
          </w:tcPr>
          <w:p>
            <w:pPr>
              <w:jc w:val="end"/>
            </w:pPr>
            <w:r>
              <w:rPr>
                <w:b w:val="1"/>
                <w:bCs w:val="1"/>
                <w:i w:val="1"/>
                <w:iCs w:val="1"/>
              </w:rPr>
              <w:t xml:space="preserve">For 2019 year</w:t>
            </w:r>
          </w:p>
          <w:tbl>
            <w:tblGrid>
              <w:gridCol/>
              <w:gridCol/>
              <w:gridCol/>
              <w:gridCol w:w="1000" w:type="dxa"/>
            </w:tblGrid>
            <w:tblPr>
              <w:tblW w:w="0" w:type="auto"/>
              <w:tblLayout w:type="autofit"/>
            </w:tblPr>
            <w:tr>
              <w:trPr/>
              <w:tc>
                <w:tcPr>
                  <w:noWrap/>
                </w:tcPr>
                <w:p>
                  <w:pPr/>
                  <w:r>
                    <w:rPr/>
                    <w:t xml:space="preserve">№</w:t>
                  </w:r>
                </w:p>
              </w:tc>
              <w:tc>
                <w:tcPr>
                  <w:noWrap/>
                </w:tcPr>
                <w:p>
                  <w:pPr/>
                  <w:r>
                    <w:rPr/>
                    <w:t xml:space="preserve">Name</w:t>
                  </w:r>
                </w:p>
              </w:tc>
              <w:tc>
                <w:tcPr>
                  <w:noWrap/>
                </w:tcPr>
                <w:p>
                  <w:pPr/>
                  <w:r>
                    <w:rPr/>
                    <w:t xml:space="preserve">Percent</w:t>
                  </w:r>
                </w:p>
              </w:tc>
              <w:tc>
                <w:tcPr>
                  <w:tcW w:w="1000" w:type="pct"/>
                  <w:noWrap/>
                </w:tcPr>
                <w:p>
                  <w:pPr/>
                  <w:r>
                    <w:rPr/>
                    <w:t xml:space="preserve">Amount (thousand. sum)</w:t>
                  </w:r>
                </w:p>
              </w:tc>
            </w:tr>
            <w:tr>
              <w:trPr/>
              <w:tc>
                <w:tcPr>
                  <w:noWrap/>
                </w:tcPr>
                <w:p>
                  <w:pPr/>
                  <w:r>
                    <w:rPr/>
                    <w:t xml:space="preserve">1</w:t>
                  </w:r>
                </w:p>
              </w:tc>
              <w:tc>
                <w:tcPr>
                  <w:noWrap/>
                </w:tcPr>
                <w:p>
                  <w:pPr/>
                  <w:r>
                    <w:rPr/>
                    <w:t xml:space="preserve">Total net profit </w:t>
                  </w:r>
                </w:p>
              </w:tc>
              <w:tc>
                <w:tcPr>
                  <w:noWrap/>
                </w:tcPr>
                <w:p>
                  <w:pPr/>
                  <w:r>
                    <w:rPr/>
                    <w:t xml:space="preserve">100,0</w:t>
                  </w:r>
                </w:p>
              </w:tc>
              <w:tc>
                <w:tcPr>
                  <w:noWrap/>
                </w:tcPr>
                <w:p>
                  <w:pPr/>
                  <w:r>
                    <w:rPr/>
                    <w:t xml:space="preserve">         25 346 152,9  </w:t>
                  </w:r>
                </w:p>
              </w:tc>
            </w:tr>
            <w:tr>
              <w:trPr/>
              <w:tc>
                <w:tcPr>
                  <w:noWrap/>
                </w:tcPr>
                <w:p>
                  <w:pPr/>
                  <w:r>
                    <w:rPr/>
                    <w:t xml:space="preserve">1.2.</w:t>
                  </w:r>
                </w:p>
              </w:tc>
              <w:tc>
                <w:tcPr>
                  <w:noWrap/>
                </w:tcPr>
                <w:p>
                  <w:pPr/>
                  <w:r>
                    <w:rPr/>
                    <w:t xml:space="preserve">to the reserve fund of the company (in accordance with article 32 of the Law of the Republic of Uzbekistan "On joint stock companies and protection of shareholders' rights")</w:t>
                  </w:r>
                </w:p>
              </w:tc>
              <w:tc>
                <w:tcPr>
                  <w:noWrap/>
                </w:tcPr>
                <w:p>
                  <w:pPr/>
                  <w:r>
                    <w:rPr/>
                    <w:t xml:space="preserve">5,0</w:t>
                  </w:r>
                </w:p>
              </w:tc>
              <w:tc>
                <w:tcPr>
                  <w:noWrap/>
                </w:tcPr>
                <w:p>
                  <w:pPr/>
                  <w:r>
                    <w:rPr/>
                    <w:t xml:space="preserve">           1 267 307,7  </w:t>
                  </w:r>
                </w:p>
              </w:tc>
            </w:tr>
            <w:tr>
              <w:trPr/>
              <w:tc>
                <w:tcPr>
                  <w:noWrap/>
                </w:tcPr>
                <w:p>
                  <w:pPr/>
                  <w:r>
                    <w:rPr/>
                    <w:t xml:space="preserve">1.3.</w:t>
                  </w:r>
                </w:p>
              </w:tc>
              <w:tc>
                <w:tcPr>
                  <w:noWrap/>
                </w:tcPr>
                <w:p>
                  <w:pPr/>
                  <w:r>
                    <w:rPr/>
                    <w:t xml:space="preserve">to the Fund for Support of Innovation Activities (according to the resolutions of the Cabinet of Ministers of the Republic of Uzbekistan dated 12.01.2018 No. 24 and dated 12.03.2018 No. 195)</w:t>
                  </w:r>
                </w:p>
              </w:tc>
              <w:tc>
                <w:tcPr>
                  <w:noWrap/>
                </w:tcPr>
                <w:p>
                  <w:pPr/>
                  <w:r>
                    <w:rPr/>
                    <w:t xml:space="preserve">10,0</w:t>
                  </w:r>
                </w:p>
              </w:tc>
              <w:tc>
                <w:tcPr>
                  <w:noWrap/>
                </w:tcPr>
                <w:p>
                  <w:pPr/>
                  <w:r>
                    <w:rPr/>
                    <w:t xml:space="preserve">           2 534 615,3  </w:t>
                  </w:r>
                </w:p>
              </w:tc>
            </w:tr>
            <w:tr>
              <w:trPr/>
              <w:tc>
                <w:tcPr>
                  <w:noWrap/>
                </w:tcPr>
                <w:p>
                  <w:pPr/>
                  <w:r>
                    <w:rPr/>
                    <w:t xml:space="preserve">1.4.</w:t>
                  </w:r>
                </w:p>
              </w:tc>
              <w:tc>
                <w:tcPr>
                  <w:noWrap/>
                </w:tcPr>
                <w:p>
                  <w:pPr/>
                  <w:r>
                    <w:rPr/>
                    <w:t xml:space="preserve">to the Labor Protection Fund (according to the resolution of the Cabinet of Ministers of the Republic of Uzbekistan dated 12.11.2008 No. 245 and the Regulations on the Fund)</w:t>
                  </w:r>
                </w:p>
              </w:tc>
              <w:tc>
                <w:tcPr>
                  <w:noWrap/>
                </w:tcPr>
                <w:p>
                  <w:pPr/>
                  <w:r>
                    <w:rPr/>
                    <w:t xml:space="preserve">1,0</w:t>
                  </w:r>
                </w:p>
              </w:tc>
              <w:tc>
                <w:tcPr>
                  <w:noWrap/>
                </w:tcPr>
                <w:p>
                  <w:pPr/>
                  <w:r>
                    <w:rPr/>
                    <w:t xml:space="preserve">              253 461,5  </w:t>
                  </w:r>
                </w:p>
              </w:tc>
            </w:tr>
            <w:tr>
              <w:trPr/>
              <w:tc>
                <w:tcPr>
                  <w:noWrap/>
                </w:tcPr>
                <w:p>
                  <w:pPr/>
                  <w:r>
                    <w:rPr/>
                    <w:t xml:space="preserve">1.5.</w:t>
                  </w:r>
                </w:p>
              </w:tc>
              <w:tc>
                <w:tcPr>
                  <w:noWrap/>
                </w:tcPr>
                <w:p>
                  <w:pPr/>
                  <w:r>
                    <w:rPr/>
                    <w:t xml:space="preserve">for the development of the company with capitalization in the authorized capital of Uzkimyosanoat JSC and subsequent targeted use to finance the investment project "Organization of ammonia and urea production" in Yangier</w:t>
                  </w:r>
                </w:p>
              </w:tc>
              <w:tc>
                <w:tcPr>
                  <w:noWrap/>
                </w:tcPr>
                <w:p>
                  <w:pPr/>
                  <w:r>
                    <w:rPr/>
                    <w:t xml:space="preserve">34,0</w:t>
                  </w:r>
                </w:p>
              </w:tc>
              <w:tc>
                <w:tcPr>
                  <w:noWrap/>
                </w:tcPr>
                <w:p>
                  <w:pPr/>
                  <w:r>
                    <w:rPr/>
                    <w:t xml:space="preserve">           8 617 692,0  </w:t>
                  </w:r>
                </w:p>
              </w:tc>
            </w:tr>
            <w:tr>
              <w:trPr/>
              <w:tc>
                <w:tcPr>
                  <w:noWrap/>
                </w:tcPr>
                <w:p>
                  <w:pPr/>
                  <w:r>
                    <w:rPr/>
                    <w:t xml:space="preserve">1.6.</w:t>
                  </w:r>
                </w:p>
              </w:tc>
              <w:tc>
                <w:tcPr>
                  <w:noWrap/>
                </w:tcPr>
                <w:p>
                  <w:pPr/>
                  <w:r>
                    <w:rPr/>
                    <w:t xml:space="preserve">for dividends</w:t>
                  </w:r>
                </w:p>
              </w:tc>
              <w:tc>
                <w:tcPr>
                  <w:noWrap/>
                </w:tcPr>
                <w:p>
                  <w:pPr/>
                  <w:r>
                    <w:rPr/>
                    <w:t xml:space="preserve">50,0</w:t>
                  </w:r>
                </w:p>
              </w:tc>
              <w:tc>
                <w:tcPr>
                  <w:noWrap/>
                </w:tcPr>
                <w:p>
                  <w:pPr/>
                  <w:r>
                    <w:rPr/>
                    <w:t xml:space="preserve">         12 673 076,4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https://new.uzkimyosanoat.uz/en/corporate/disclosure/profit/p2019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