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November 5,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Quarterly report of the issuer on the results of the third quarter of 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https://new.uzkimyosanoat.uz/en/corporate/disclosure/financial-reports/quarterly-reports/report202409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