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August 9, 2024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Quarterly report of the issuer on the results of the second quarter of 2024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https://new.uzkimyosanoat.uz/en/corporate/disclosure/financial-reports/quarterly-reports/report202406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