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July 31,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Annual report of the issuer on the results of 2023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https://new.uzkimyosanoat.uz/en/corporate/disclosure/financial-reports/annual-reports/report-2023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