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May 2,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Decisions taken by the supreme governing body of the issuer, including decisions of the supervisory board of business entities on the issue of shares, corporate bonds and other securities. Fact #6 from 02.05.2024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https://new.uzkimyosanoat.uz/en/corporate/disclosure/facts/fact-06-20240502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