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Annual report of the issuer by the results of 2015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body of the issuer who took the decision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report approval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30.06.2016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 OF THE ISSUER: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Full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Joint Stock company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JSC 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stock exchange ticker: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No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CORPORATE NEWS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Location: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Postal address: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E-mail address: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Official Website: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BANK DETAILS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обслуживающего банка: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JSC  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Current account: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MFI: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REGISTRATION AND IDENTIFICATION NUMBERS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assigned by the registering body: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assigned by the State Tax Service (TIN):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appropriated by bodies of state statistics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CFS: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OKPO: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OKONH: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SOATO: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54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4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Indicators of financial and economic condition of the issuer</w:t>
                  </w:r>
                </w:p>
              </w:tc>
            </w:tr>
            <w:tr>
              <w:trPr/>
              <w:tc>
                <w:tcPr>
                  <w:tcW w:w="6345" w:type="dxa"/>
                  <w:noWrap/>
                </w:tcPr>
                <w:p>
                  <w:pPr/>
                  <w:r>
                    <w:rPr/>
                    <w:t xml:space="preserve">Profitability of the authorized capital, coefficient</w:t>
                  </w:r>
                </w:p>
              </w:tc>
              <w:tc>
                <w:tcPr>
                  <w:tcW w:w="5805" w:type="dxa"/>
                  <w:noWrap/>
                </w:tcPr>
                <w:p>
                  <w:pPr/>
                  <w:r>
                    <w:rPr/>
                    <w:t xml:space="preserve">0,8</w:t>
                  </w:r>
                </w:p>
              </w:tc>
            </w:tr>
            <w:tr>
              <w:trPr/>
              <w:tc>
                <w:tcPr>
                  <w:tcW w:w="6345" w:type="dxa"/>
                  <w:noWrap/>
                </w:tcPr>
                <w:p>
                  <w:pPr/>
                  <w:r>
                    <w:rPr/>
                    <w:t xml:space="preserve">Coverage of total solvency, coefficient</w:t>
                  </w:r>
                </w:p>
              </w:tc>
              <w:tc>
                <w:tcPr>
                  <w:tcW w:w="5805" w:type="dxa"/>
                  <w:noWrap/>
                </w:tcPr>
                <w:p>
                  <w:pPr/>
                  <w:r>
                    <w:rPr/>
                    <w:t xml:space="preserve">13,24</w:t>
                  </w:r>
                </w:p>
              </w:tc>
            </w:tr>
            <w:tr>
              <w:trPr/>
              <w:tc>
                <w:tcPr>
                  <w:tcW w:w="6345" w:type="dxa"/>
                  <w:noWrap/>
                </w:tcPr>
                <w:p>
                  <w:pPr/>
                  <w:r>
                    <w:rPr/>
                    <w:t xml:space="preserve">Ratio of absolute liquidity, coefficient</w:t>
                  </w:r>
                </w:p>
              </w:tc>
              <w:tc>
                <w:tcPr>
                  <w:tcW w:w="5805" w:type="dxa"/>
                  <w:noWrap/>
                </w:tcPr>
                <w:p>
                  <w:pPr/>
                  <w:r>
                    <w:rPr/>
                    <w:t xml:space="preserve">5,99</w:t>
                  </w:r>
                </w:p>
              </w:tc>
            </w:tr>
            <w:tr>
              <w:trPr/>
              <w:tc>
                <w:tcPr>
                  <w:tcW w:w="6345" w:type="dxa"/>
                  <w:noWrap/>
                </w:tcPr>
                <w:p>
                  <w:pPr/>
                  <w:r>
                    <w:rPr/>
                    <w:t xml:space="preserve">Ratio of own and attracted funds, coefficient</w:t>
                  </w:r>
                </w:p>
              </w:tc>
              <w:tc>
                <w:tcPr>
                  <w:tcW w:w="5805" w:type="dxa"/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  <w:tr>
              <w:trPr/>
              <w:tc>
                <w:tcPr>
                  <w:tcW w:w="6345" w:type="dxa"/>
                  <w:noWrap/>
                </w:tcPr>
                <w:p>
                  <w:pPr/>
                  <w:r>
                    <w:rPr/>
                    <w:t xml:space="preserve">The ratio of the issuer's own and borrowed funds:</w:t>
                  </w:r>
                </w:p>
              </w:tc>
              <w:tc>
                <w:tcPr>
                  <w:tcW w:w="5805" w:type="dxa"/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25" w:type="dxa"/>
                  <w:noWrap/>
                </w:tcPr>
                <w:p>
                  <w:pPr/>
                  <w:r>
                    <w:rPr/>
                    <w:t xml:space="preserve">  </w:t>
                  </w:r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 </w:t>
                  </w:r>
                  <w:r>
                    <w:rPr>
                      <w:b w:val="1"/>
                      <w:bCs w:val="1"/>
                    </w:rPr>
                    <w:t xml:space="preserve">Balance sheet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Indicator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Code p.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 the beginning of the reporting period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 the end of the reporting period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ASSETS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Long-term assets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Non-Current Assets: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Initial (replacement) value (01,03)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5056398.90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5199474.40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Depreciation amount (0200)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3463936.00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3883921.10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Residual (book) value (lines 010-011)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1592462.90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1315553.30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Intangible assets: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Initial value (0400)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Depreciation amount (0500)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96300.00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Residual value (carrying amount) (020-021)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64000.00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investments, total (lines: 040+050+060+070+080), including: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232354912.60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Securities (0610)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200074.90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Investments in subsidiaries (0620)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6237753.60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6522618.90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Investments in associated companies (0630)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139450457.00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143275824.60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Investments in enterprises with foreign capital (0640)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230624.00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239937.10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long-term investments (0690)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86239003.10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84864746.40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Equipment for installation (0700)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Capital investments (0800)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728264.40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receivables (0910, 0920, 0930, 0940)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Out of which,over due receivables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deferred expenses (0950, 0960, 0990)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 (012+022+030+090+100+110+120)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234739639.90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237217603.30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CURRENT ASSETS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Inventories, total (lines 150+160+170+180), including: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Inventories in stock (1000,1100,1500,1600)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Work in progress (2000, 2100, 2300, 2700)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Finished products (2800)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Goods (2900 less 2980)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Future expenses (3100)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Deferred expenses (3200)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Receivables, total (lines 220+240+250+260+270+280+290+300+310)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9645943.80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10013489.30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out of which: receivables in arrears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 due from buyers and customers (4000 less 4900)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72.00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317518.50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 due from subdivisions (4110)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 due from subsidiaries and associates (4120)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21449.00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to employees (4200)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48405.80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5555.90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to suppliers and contractors (4300)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2526741.00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2507238.30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for taxes and levies on budget (4400)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122587.80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31104.40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to target funds and on insurance (4500)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43429.50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6834.30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 due from founders to authorized capital (4600)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Receivables due from personnel on other operations (4700)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account receivables (4800)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6883258.70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7144940.90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Cash, total (lines 330+340+350+360), including: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4763416.70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1786967.40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Cash on hand (5000)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Cash on settlement account (5100)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176984.30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186933.30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Cash in foreign currency (5200)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2347098.20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556091.10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cash and cash equivalents (5500, 5800, 5700)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2239334.20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Short-term investments (5800)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current assets (5900)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140+190+200+210+320+370+380)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20985154.10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18363152.90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assets of balance (130+390)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LIABILITIES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Sources of own funds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Authorized capital (8300)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151801131.70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155147992.30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Additional paid-in capital (8400)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Reserve capital (8500)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6187027.90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6328001.50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Treasury stock (8600)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Retained earnings (uncovered loss) (8700)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3781097.50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1991823.80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Special-purpose receipts (8800)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56103753.10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55828753.10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Reserves for future expenses and payments (8900)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 (lines 410+420+430+440+450+460+470)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217873010.20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219296570.70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LIABILITIES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liabilities, total (lines 500+520+530+540+550+560+570+580+590)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including: long-termaccounts payable (lines 500+520+540+580+590)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Out of which: Long term accounts payable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accounts due to suppliers and contractors (7000)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accounts due to subdivisions (7110)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 term accounts due to subsidiaries and associates (7120)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deferred income (7210, 7220, 7230)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deferred tax liabilities and other mandatory payments (7240)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long-term deferred liabilities (7250, 7290)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from buyers and customers (7300)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bank loans (7810)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Long-term borrowings (7820, 7830, 7840)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long-term accounts payable (7900)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Current liabilities, total (lines 610+630+640+650+660+670+680+690+700+710+720+ +730+740+750+760)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including: current accounts payable (lines 610+630+650+670+6 80+6 90+700+710+720+760)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Out of which: accounts payable – in arrears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from suppliers and contractors (6000)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477799.20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315001.20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subdivisions (6110)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subsidiaries and associates (6120)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Deferred income (6210, 6220, 6230)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Deferred liabilities for taxes and mandatory payments (6240)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deferred liabilities (6250, 6290)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Advances received (6300)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8367.30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642811.90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budget (6400)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415199.80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35420.90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insurance (6510)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28771.90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14687.40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state target funds (6520)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71334.00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54820.20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Due to founders (6600)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195422.90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Salaries payable (6700)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155405.70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130817.60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Short-term bank loans (6810)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Short-term borrowings (6820, 6830, 6840)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Current portion of long-term liabilities (6950)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/>
                    <w:t xml:space="preserve">Other accounts payable (6900 except 6950)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257663.10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490+600)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37851783.80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36284185.50</w:t>
                  </w:r>
                </w:p>
              </w:tc>
            </w:tr>
            <w:tr>
              <w:trPr/>
              <w:tc>
                <w:tcPr>
                  <w:tcW w:w="577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liabilities of balance sheet (lines 480+770)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tcW w:w="2130" w:type="dxa"/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3870" w:type="dxa"/>
              <w:gridCol w:w="1050" w:type="dxa"/>
              <w:gridCol w:w="2040" w:type="dxa"/>
              <w:gridCol w:w="1890" w:type="dxa"/>
              <w:gridCol w:w="1680" w:type="dxa"/>
              <w:gridCol w:w="168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Report on financial results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Indicator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Code p.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At the beginning of the reporting period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At the end of the reporting period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(profit)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expenses (losses)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income (profit)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expenses (losses)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Net revenue from sales of products (goods, works and services)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Cost of goods sold (goods, works and services)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Gross profit (loss) from sales of production (goods, works and services) (lines 010-020)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Period expenditures, total (lines 050+060+070+080), including: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9905818.30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Costs to Sell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Administrative expenses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3004026.30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3819181.80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Other operating expenses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6901792.00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1334438.20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Expenses of the reporting period excluded from the tax base in the future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Other income from operating activities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808287.00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663970.40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Income (loss) from main activity (lines 0З0-040+090)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9097531.30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4489649.60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Earnings from financial activities, total (lines 120+130+140+150+160), including: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11735230.80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Dividend income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11288639.60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5844362.60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Interest income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Income from long-term lease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Income from foreign exchange rate differences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446591.20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182651.40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Other income from financing activities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Expenses from financial operations (lines 180+190+200+210), including: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Expenses in the form of interest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Expenses in the form of interest on long-term lease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Loss from foreign exchange rate differences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Other expenses from financial operations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Income (loss) from general operations (lines 100+110-170)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Extraordinary profits and losses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Profit (loss) before income tax (lines 220+/-230)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Income tax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/>
                    <w:t xml:space="preserve">Other taxes and fees on profits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87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Net profit (loss) of the reporting period (lines 240-250-260)</w:t>
                  </w:r>
                </w:p>
              </w:tc>
              <w:tc>
                <w:tcPr>
                  <w:tcW w:w="1050" w:type="dxa"/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tcW w:w="2040" w:type="dxa"/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https://new.uzkimyosanoat.uz/en/corporate/disclosure/facts/annual-report-of-the-issuer-by-the-results-of-2015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