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<w:body><w:p w14:paraId="64BC1A8D" w14:textId="4BF9496F" w:rsidR="00A048F3" w:rsidRPr="00477279" w:rsidRDefault="00477279" w:rsidP="002A6CB9"><w:pPr><w:rPr><w:b/><w:sz w:val="32"/><w:szCs w:val="28"/><w:lang w:val="en-US"/></w:rPr></w:pPr><w:r><w:rPr><w:b/><w:sz w:val="32"/><w:szCs w:val="28"/><w:lang w:val="en-US"/></w:rPr><w:t></w:t><w:pict><v:shape type="#_x0000_t75" style="width:300px;height:49.668874172185px" stroked="f" filled="f"><v:imagedata r:id="rId8" o:title=""/></v:shape></w:pict><w:t></w:t></w:r></w:p><w:p w14:paraId="4C657E59" w14:textId="10DF69B4" w:rsidR="008E41E5" w:rsidRDefault="008E41E5" w:rsidP="004D4932"><w:pPr><w:jc w:val="center"/><w:rPr><w:b/><w:sz w:val="32"/><w:szCs w:val="28"/><w:lang w:val="ru-RU"/></w:rPr></w:pPr></w:p><w:p w14:paraId="65E6D3BD" w14:textId="77777777" w:rsidR="00223504" w:rsidRDefault="00223504" w:rsidP="004D4932"><w:pPr><w:jc w:val="center"/><w:rPr><w:b/><w:sz w:val="32"/><w:szCs w:val="28"/><w:lang w:val="ru-RU"/></w:rPr></w:pPr></w:p><w:p w14:paraId="628282D5" w14:textId="674817B3" w:rsidR="00A048F3" w:rsidRPr="00EB414A" w:rsidRDefault="00A048F3" w:rsidP="00A048F3"><w:pPr><w:rPr><w:b/><w:i/><w:iCs/><w:sz w:val="28"/><w:lang w:val="ru-RU"/></w:rPr></w:pPr><w:r w:rsidRPr="00EB414A"><w:rPr><w:i/><w:iCs/><w:lang w:val="ru-RU"/></w:rPr><w:t>July 26, 2024</w:t></w:r></w:p><w:p w14:paraId="65A7E376" w14:textId="29A957ED" w:rsidR="004D4932" w:rsidRPr="00A048F3" w:rsidRDefault="00A048F3" w:rsidP="00AD52D5"><w:pPr><w:rPr><w:b/><w:sz w:val="32"/><w:szCs w:val="28"/><w:lang w:val="en-US"/></w:rPr></w:pPr><w:bookmarkStart w:id="0" w:name="_GoBack"/><w:r><w:rPr><w:b/><w:sz w:val="32"/><w:szCs w:val="28"/><w:lang w:val="en-US"/></w:rPr><w:t>Conclusion on the assessment of the corporate governance system of JSC "Uzkimyosanoat" in the first quarter of 2024 (06.05.2024)</a></w:t></w:r></w:p><w:bookmarkEnd w:id="0"/><w:p w14:paraId="522BF26F" w14:textId="3F0F523B" w:rsidR="00A048F3" w:rsidRDefault="00A048F3"><w:pPr><w:rPr><w:sz w:val="28"/><w:szCs w:val="28"/><w:lang w:val="ru-RU"/></w:rPr></w:pPr></w:p><w:tbl>
  <w:tblGrid>
    <w:gridCol/>
  </w:tblGrid>
  <w:tr>
    <w:trPr/>
    <w:tc>
      <w:tcPr>
        <w:noWrap/>
      </w:tcPr>
      <w:p/>
    </w:tc>
  </w:tr>
</w:tbl>
<w:p w14:paraId="37969DD4" w14:textId="6072311F" w:rsidR="004E4FEA" w:rsidRDefault="004E4FEA" w:rsidP="004E4FEA"><w:pPr><w:rPr><w:sz w:val="28"/><w:szCs w:val="28"/><w:lang w:val="ru-RU"/></w:rPr></w:pPr></w:p><w:p w14:paraId="17D35146" w14:textId="77777777" w:rsidR="006D67C6" w:rsidRDefault="006D67C6" w:rsidP="004E4FEA"><w:pPr><w:rPr><w:sz w:val="28"/><w:szCs w:val="28"/><w:lang w:val="ru-RU"/></w:rPr></w:pPr></w:p><w:p w14:paraId="63214FEC" w14:textId="77777777" w:rsidR="004E4FEA" w:rsidRPr="00DD7CD9" w:rsidRDefault="004E4FEA" w:rsidP="004E4FEA"><w:pPr><w:rPr><w:b/><w:bCs/><w:i/><w:iCs/><w:lang w:val="en-US"/></w:rPr></w:pPr><w:r w:rsidRPr="00DD7CD9"><w:rPr><w:b/><w:bCs/><w:i/><w:iCs/><w:lang w:val="en-US"/></w:rPr><w:t>source:</w:t></w:r></w:p><w:p w14:paraId="590A36CF" w14:textId="77777777" w:rsidR="004E4FEA" w:rsidRPr="00DD7CD9" w:rsidRDefault="004E4FEA" w:rsidP="004E4FEA"><w:pPr><w:rPr><w:i/><w:iCs/><w:lang w:val="en-US"/></w:rPr></w:pPr><w:r w:rsidRPr="00DD7CD9"><w:rPr><w:i/><w:iCs/><w:lang w:val="en-US"/></w:rPr><w:t>Joint Stock Company "Uzkimyosanoat"</w:t></w:r></w:p><w:p w14:paraId="71C6122F" w14:textId="01C0B5C7" w:rsidR="004E4FEA" w:rsidRPr="00DD7CD9" w:rsidRDefault="004E4FEA" w:rsidP="004E4FEA"><w:pPr><w:rPr><w:i/><w:iCs/><w:lang w:val="ru-RU"/></w:rPr></w:pPr><w:r w:rsidRPr="00DD7CD9"><w:rPr><w:i/><w:iCs/><w:lang w:val="ru-RU"/></w:rPr><w:t>https://new.uzkimyosanoat.uz/en/corporate/disclosure/assessments/conclusion-20240506</w:t></w:r></w:p><w:p w14:paraId="36856441" w14:textId="77777777" w:rsidR="00A048F3" w:rsidRPr="004D4932" w:rsidRDefault="00A048F3" w:rsidP="00A048F3"><w:pPr><w:jc w:val="both"/><w:rPr><w:sz w:val="28"/><w:szCs w:val="28"/><w:lang w:val="ru-RU"/></w:rPr></w:pPr></w:p><w:sectPr w:rsidR="00A048F3" w:rsidRPr="004D4932" w:rsidSect="00A048F3"><w:pgSz w:w="11906" w:h="16838"/><w:pgMar w:top="1134" w:right="1134" w:bottom="1134" w:left="1134" w:header="709" w:footer="709" w:gutter="0"/><w:cols w:space="708"/><w:docGrid w:linePitch="360"/></w:sectPr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