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May 28, 2021</w:t>
      </w:r>
    </w:p>
    <w:p w14:paraId="65A7E376" w14:textId="29A957ED" w:rsidR="004D4932" w:rsidRPr="00A048F3" w:rsidRDefault="00A048F3" w:rsidP="00AD52D5">
      <w:pPr>
        <w:rPr>
          <w:b/>
          <w:sz w:val="32"/>
          <w:szCs w:val="28"/>
          <w:lang w:val="en-US"/>
        </w:rPr>
      </w:pPr>
      <w:bookmarkStart w:id="0" w:name="_GoBack"/>
      <w:r>
        <w:rPr>
          <w:b/>
          <w:sz w:val="32"/>
          <w:szCs w:val="28"/>
          <w:lang w:val="en-US"/>
        </w:rPr>
        <w:t>Announcement by principle «comply or explain»</w:t>
      </w:r>
    </w:p>
    <w:bookmarkEnd w:id="0"/>
    <w:p w14:paraId="522BF26F" w14:textId="3F0F523B" w:rsidR="00A048F3" w:rsidRDefault="00A048F3">
      <w:pPr>
        <w:rPr>
          <w:sz w:val="28"/>
          <w:szCs w:val="28"/>
          <w:lang w:val="ru-RU"/>
        </w:rPr>
      </w:pPr>
    </w:p>
    <w:tbl>
      <w:tblGrid>
        <w:gridCol/>
      </w:tblGrid>
      <w:tr>
        <w:trPr/>
        <w:tc>
          <w:tcPr>
            <w:noWrap/>
          </w:tcPr>
          <w:tbl>
            <w:tblGrid>
              <w:gridCol w:w="2500" w:type="dxa"/>
              <w:gridCol/>
            </w:tblGrid>
            <w:tblPr>
              <w:tblW w:w="0" w:type="auto"/>
              <w:tblLayout w:type="autofit"/>
            </w:tblPr>
            <w:tr>
              <w:trPr/>
              <w:tc>
                <w:tcPr>
                  <w:tcW w:w="2500" w:type="pct"/>
                  <w:noWrap/>
                </w:tcPr>
                <w:p>
                  <w:pPr>
                    <w:jc w:val="center"/>
                  </w:pPr>
                  <w:r>
                    <w:rPr>
                      <w:b w:val="1"/>
                      <w:bCs w:val="1"/>
                    </w:rPr>
                    <w:t xml:space="preserve">Identified non-compliance with recommendations of the Code</w:t>
                  </w:r>
                </w:p>
              </w:tc>
              <w:tc>
                <w:tcPr>
                  <w:noWrap/>
                </w:tcPr>
                <w:p>
                  <w:pPr>
                    <w:jc w:val="center"/>
                  </w:pPr>
                  <w:r>
                    <w:rPr>
                      <w:b w:val="1"/>
                      <w:bCs w:val="1"/>
                    </w:rPr>
                    <w:t xml:space="preserve">Explanations</w:t>
                  </w:r>
                </w:p>
              </w:tc>
            </w:tr>
            <w:tr>
              <w:trPr/>
              <w:tc>
                <w:tcPr>
                  <w:gridSpan w:val="2"/>
                  <w:noWrap/>
                </w:tcPr>
                <w:p>
                  <w:pPr>
                    <w:jc w:val="center"/>
                  </w:pPr>
                  <w:r>
                    <w:rPr>
                      <w:b w:val="1"/>
                      <w:bCs w:val="1"/>
                    </w:rPr>
                    <w:t xml:space="preserve">Evaluation of competitive selection</w:t>
                  </w:r>
                </w:p>
              </w:tc>
            </w:tr>
            <w:tr>
              <w:trPr/>
              <w:tc>
                <w:tcPr>
                  <w:noWrap/>
                </w:tcPr>
                <w:p>
                  <w:pPr/>
                  <w:r>
                    <w:rPr/>
                    <w:t xml:space="preserve">There is no regulation on the competitive selection of the head and members of the executive body.</w:t>
                  </w:r>
                </w:p>
              </w:tc>
              <w:tc>
                <w:tcPr>
                  <w:noWrap/>
                </w:tcPr>
                <w:p>
                  <w:pPr/>
                  <w:r>
                    <w:rPr/>
                    <w:t xml:space="preserve">Internal documents, the Regulations for the selection of candidates for the executive body are being developed at the moment</w:t>
                  </w:r>
                </w:p>
              </w:tc>
            </w:tr>
            <w:tr>
              <w:trPr/>
              <w:tc>
                <w:tcPr>
                  <w:gridSpan w:val="2"/>
                  <w:noWrap/>
                </w:tcPr>
                <w:p>
                  <w:pPr>
                    <w:jc w:val="center"/>
                  </w:pPr>
                  <w:r>
                    <w:rPr>
                      <w:b w:val="1"/>
                      <w:bCs w:val="1"/>
                    </w:rPr>
                    <w:t xml:space="preserve">Assessment of compliance with the recommendations of the Corporate Governance Code</w:t>
                  </w:r>
                </w:p>
              </w:tc>
            </w:tr>
            <w:tr>
              <w:trPr/>
              <w:tc>
                <w:tcPr>
                  <w:noWrap/>
                </w:tcPr>
                <w:p>
                  <w:pPr/>
                  <w:r>
                    <w:rPr/>
                    <w:t xml:space="preserve">Staffing of independent members to the supervisory board.</w:t>
                  </w:r>
                </w:p>
              </w:tc>
              <w:tc>
                <w:tcPr>
                  <w:noWrap/>
                </w:tcPr>
                <w:p>
                  <w:pPr/>
                  <w:r>
                    <w:rPr/>
                    <w:t xml:space="preserve">In accordance with the Decree of the President of the Republic of Uzbekistan of October 27, 2020 No. PD-6096 and the Resolution of the Cabinet of Ministers of the Republic of Uzbekistan internal documents on staffing at least 30 percent of the Supervisory Board with qualified international specialists by actively engaging, on the basis of an international competition, foreign specialists in this field (including compatriots) to the supervisory board are being amended. Tender documentation on the attraction independent members to the Supervisory Board of the company was also developed, in particular, the terms of reference were submitted to the sole shareholder.</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https://new.uzkimyosanoat.uz/en/corporate/announcement/comply-or-explain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