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20, 2013</w:t>
      </w:r>
    </w:p>
    <w:p w14:paraId="65A7E376" w14:textId="29A957ED" w:rsidR="004D4932" w:rsidRPr="00A048F3" w:rsidRDefault="00A048F3" w:rsidP="00AD52D5">
      <w:pPr>
        <w:rPr>
          <w:b/>
          <w:sz w:val="32"/>
          <w:szCs w:val="28"/>
          <w:lang w:val="en-US"/>
        </w:rPr>
      </w:pPr>
      <w:bookmarkStart w:id="0" w:name="_GoBack"/>
      <w:r>
        <w:rPr>
          <w:b/>
          <w:sz w:val="32"/>
          <w:szCs w:val="28"/>
          <w:lang w:val="en-US"/>
        </w:rPr>
        <w:t>«Dekhkanabad plant of potassium» JSC</w:t>
      </w:r>
    </w:p>
    <w:bookmarkEnd w:id="0"/>
    <w:p w14:paraId="522BF26F" w14:textId="3F0F523B" w:rsidR="00A048F3" w:rsidRDefault="00A048F3">
      <w:pPr>
        <w:rPr>
          <w:sz w:val="28"/>
          <w:szCs w:val="28"/>
          <w:lang w:val="ru-RU"/>
        </w:rPr>
      </w:pPr>
    </w:p>
    <w:tbl>
      <w:tblGrid>
        <w:gridCol/>
      </w:tblGrid>
      <w:tr>
        <w:trPr/>
        <w:tc>
          <w:tcPr>
            <w:noWrap/>
          </w:tcPr>
          <w:p>
            <w:pPr/>
            <w:r>
              <w:rPr/>
              <w:t xml:space="preserve"> </w:t>
            </w:r>
          </w:p>
          <w:tbl>
            <w:tblGrid>
              <w:gridCol/>
              <w:gridCol/>
            </w:tblGrid>
            <w:tblPr>
              <w:tblW w:w="0" w:type="auto"/>
              <w:tblLayout w:type="autofit"/>
            </w:tblPr>
            <w:tr>
              <w:trPr/>
              <w:tc>
                <w:tcPr>
                  <w:gridSpan w:val="2"/>
                  <w:noWrap/>
                </w:tcPr>
                <w:p>
                  <w:pPr/>
                  <w:r>
                    <w:rPr/>
                    <w:t xml:space="preserve">Shortly about enterprise</w:t>
                  </w:r>
                </w:p>
              </w:tc>
            </w:tr>
            <w:tr>
              <w:trPr/>
              <w:tc>
                <w:tcPr>
                  <w:noWrap/>
                </w:tcPr>
                <w:p>
                  <w:pPr/>
                  <w:r>
                    <w:rPr>
                      <w:b w:val="1"/>
                      <w:bCs w:val="1"/>
                    </w:rPr>
                    <w:t xml:space="preserve">Post address</w:t>
                  </w:r>
                </w:p>
              </w:tc>
              <w:tc>
                <w:tcPr>
                  <w:noWrap/>
                </w:tcPr>
                <w:p>
                  <w:pPr/>
                  <w:r>
                    <w:rPr/>
                    <w:t xml:space="preserve">180405, Kashkadarya region, Dekhkanabad district</w:t>
                  </w:r>
                </w:p>
              </w:tc>
            </w:tr>
            <w:tr>
              <w:trPr/>
              <w:tc>
                <w:tcPr>
                  <w:noWrap/>
                </w:tcPr>
                <w:p>
                  <w:pPr/>
                  <w:r>
                    <w:rPr>
                      <w:b w:val="1"/>
                      <w:bCs w:val="1"/>
                    </w:rPr>
                    <w:t xml:space="preserve">Head of the enterprise</w:t>
                  </w:r>
                </w:p>
              </w:tc>
              <w:tc>
                <w:tcPr>
                  <w:noWrap/>
                </w:tcPr>
                <w:p>
                  <w:pPr/>
                  <w:r>
                    <w:rPr/>
                    <w:t xml:space="preserve">			</w:t>
                  </w:r>
                  <w:r>
                    <w:rPr/>
                    <w:t xml:space="preserve">			</w:t>
                  </w:r>
                  <w:r>
                    <w:rPr/>
                    <w:t xml:space="preserve">Zaripov Tulkin Ergashevich</w:t>
                  </w:r>
                  <w:r>
                    <w:rPr/>
                    <w:t xml:space="preserve">			</w:t>
                  </w:r>
                  <w:r>
                    <w:rPr/>
                    <w:t xml:space="preserve">			</w:t>
                  </w:r>
                </w:p>
              </w:tc>
            </w:tr>
            <w:tr>
              <w:trPr/>
              <w:tc>
                <w:tcPr>
                  <w:noWrap/>
                </w:tcPr>
                <w:p>
                  <w:pPr/>
                  <w:r>
                    <w:rPr>
                      <w:b w:val="1"/>
                      <w:bCs w:val="1"/>
                    </w:rPr>
                    <w:t xml:space="preserve">Phone, fax</w:t>
                  </w:r>
                </w:p>
              </w:tc>
              <w:tc>
                <w:tcPr>
                  <w:noWrap/>
                </w:tcPr>
                <w:p>
                  <w:pPr/>
                  <w:r>
                    <w:rPr/>
                    <w:t xml:space="preserve">(+99875) 6125005</w:t>
                  </w:r>
                </w:p>
              </w:tc>
            </w:tr>
            <w:tr>
              <w:trPr/>
              <w:tc>
                <w:tcPr>
                  <w:noWrap/>
                </w:tcPr>
                <w:p>
                  <w:pPr/>
                  <w:r>
                    <w:rPr>
                      <w:b w:val="1"/>
                      <w:bCs w:val="1"/>
                    </w:rPr>
                    <w:t xml:space="preserve">Website</w:t>
                  </w:r>
                </w:p>
              </w:tc>
              <w:tc>
                <w:tcPr>
                  <w:noWrap/>
                </w:tcPr>
                <w:p>
                  <w:pPr/>
                  <w:hyperlink r:id="rId7" w:history="1">
                    <w:r>
                      <w:rPr/>
                      <w:t xml:space="preserve">uz-potash.uz</w:t>
                    </w:r>
                  </w:hyperlink>
                </w:p>
              </w:tc>
            </w:tr>
            <w:tr>
              <w:trPr/>
              <w:tc>
                <w:tcPr>
                  <w:noWrap/>
                </w:tcPr>
                <w:p>
                  <w:pPr/>
                  <w:r>
                    <w:rPr>
                      <w:b w:val="1"/>
                      <w:bCs w:val="1"/>
                    </w:rPr>
                    <w:t xml:space="preserve">E-mail address</w:t>
                  </w:r>
                </w:p>
              </w:tc>
              <w:tc>
                <w:tcPr>
                  <w:noWrap/>
                </w:tcPr>
                <w:p>
                  <w:pPr/>
                  <w:hyperlink r:id="rId8" w:history="1">
                    <w:r>
                      <w:rPr/>
                      <w:t xml:space="preserve">info@uz-potash.uz</w:t>
                    </w:r>
                  </w:hyperlink>
                </w:p>
              </w:tc>
            </w:tr>
            <w:tr>
              <w:trPr/>
              <w:tc>
                <w:tcPr>
                  <w:noWrap/>
                </w:tcPr>
                <w:p>
                  <w:pPr/>
                  <w:r>
                    <w:rPr>
                      <w:b w:val="1"/>
                      <w:bCs w:val="1"/>
                    </w:rPr>
                    <w:t xml:space="preserve">Segment</w:t>
                  </w:r>
                </w:p>
              </w:tc>
              <w:tc>
                <w:tcPr>
                  <w:noWrap/>
                </w:tcPr>
                <w:p>
                  <w:pPr/>
                  <w:r>
                    <w:rPr/>
                    <w:t xml:space="preserve">Fertilizer production</w:t>
                  </w:r>
                </w:p>
              </w:tc>
            </w:tr>
            <w:tr>
              <w:trPr/>
              <w:tc>
                <w:tcPr>
                  <w:noWrap/>
                </w:tcPr>
                <w:p>
                  <w:pPr/>
                  <w:r>
                    <w:rPr>
                      <w:b w:val="1"/>
                      <w:bCs w:val="1"/>
                    </w:rPr>
                    <w:t xml:space="preserve">Legal status</w:t>
                  </w:r>
                </w:p>
              </w:tc>
              <w:tc>
                <w:tcPr>
                  <w:noWrap/>
                </w:tcPr>
                <w:p>
                  <w:pPr/>
                  <w:r>
                    <w:rPr/>
                    <w:t xml:space="preserve">Unitary Enterprise</w:t>
                  </w:r>
                </w:p>
              </w:tc>
            </w:tr>
            <w:tr>
              <w:trPr/>
              <w:tc>
                <w:tcPr>
                  <w:noWrap/>
                </w:tcPr>
                <w:p>
                  <w:pPr/>
                  <w:r>
                    <w:rPr>
                      <w:b w:val="1"/>
                      <w:bCs w:val="1"/>
                    </w:rPr>
                    <w:t xml:space="preserve">Count of employees</w:t>
                  </w:r>
                </w:p>
              </w:tc>
              <w:tc>
                <w:tcPr>
                  <w:noWrap/>
                </w:tcPr>
                <w:p>
                  <w:pPr/>
                  <w:r>
                    <w:rPr/>
                    <w:t xml:space="preserve">1 176</w:t>
                  </w:r>
                </w:p>
              </w:tc>
            </w:tr>
            <w:tr>
              <w:trPr/>
              <w:tc>
                <w:tcPr>
                  <w:gridSpan w:val="2"/>
                  <w:noWrap/>
                </w:tcPr>
                <w:p>
                  <w:pPr/>
                  <w:r>
                    <w:rPr/>
                    <w:t xml:space="preserve">Marketing Information</w:t>
                  </w:r>
                </w:p>
              </w:tc>
            </w:tr>
            <w:tr>
              <w:trPr/>
              <w:tc>
                <w:tcPr>
                  <w:noWrap/>
                </w:tcPr>
                <w:p>
                  <w:pPr/>
                  <w:r>
                    <w:rPr>
                      <w:b w:val="1"/>
                      <w:bCs w:val="1"/>
                    </w:rPr>
                    <w:t xml:space="preserve">Major types of products and services of the company</w:t>
                  </w:r>
                </w:p>
              </w:tc>
              <w:tc>
                <w:tcPr>
                  <w:noWrap/>
                </w:tcPr>
                <w:p>
                  <w:pPr/>
                  <w:r>
                    <w:rPr/>
                    <w:t xml:space="preserve">Potassium chloride GOST 4568-95, salt Tech</w:t>
                  </w:r>
                </w:p>
              </w:tc>
            </w:tr>
            <w:tr>
              <w:trPr/>
              <w:tc>
                <w:tcPr>
                  <w:noWrap/>
                </w:tcPr>
                <w:p>
                  <w:pPr/>
                  <w:r>
                    <w:rPr>
                      <w:b w:val="1"/>
                      <w:bCs w:val="1"/>
                    </w:rPr>
                    <w:t xml:space="preserve">The basic raw materials required for production</w:t>
                  </w:r>
                </w:p>
              </w:tc>
              <w:tc>
                <w:tcPr>
                  <w:noWrap/>
                </w:tcPr>
                <w:p>
                  <w:pPr/>
                  <w:r>
                    <w:rPr/>
                    <w:t xml:space="preserve">Sylvinite ore</w:t>
                  </w:r>
                </w:p>
              </w:tc>
            </w:tr>
            <w:tr>
              <w:trPr/>
              <w:tc>
                <w:tcPr>
                  <w:noWrap/>
                </w:tcPr>
                <w:p>
                  <w:pPr/>
                  <w:r>
                    <w:rPr>
                      <w:b w:val="1"/>
                      <w:bCs w:val="1"/>
                    </w:rPr>
                    <w:t xml:space="preserve">The main local consumers</w:t>
                  </w:r>
                </w:p>
              </w:tc>
              <w:tc>
                <w:tcPr>
                  <w:noWrap/>
                </w:tcPr>
                <w:p>
                  <w:pPr/>
                  <w:r>
                    <w:rPr/>
                    <w:t xml:space="preserve">Agriculture, Farms</w:t>
                  </w:r>
                </w:p>
              </w:tc>
            </w:tr>
            <w:tr>
              <w:trPr/>
              <w:tc>
                <w:tcPr>
                  <w:noWrap/>
                </w:tcPr>
                <w:p>
                  <w:pPr/>
                  <w:r>
                    <w:rPr>
                      <w:b w:val="1"/>
                      <w:bCs w:val="1"/>
                    </w:rPr>
                    <w:t xml:space="preserve">The main importers of products</w:t>
                  </w:r>
                </w:p>
              </w:tc>
              <w:tc>
                <w:tcPr>
                  <w:noWrap/>
                </w:tcPr>
                <w:p>
                  <w:pPr/>
                  <w:r>
                    <w:rPr/>
                    <w:t xml:space="preserve">Shri Lanka, UAE, Kazakhstan, Georgia, Vetnam, Malaysia, PR of China</w:t>
                  </w:r>
                </w:p>
              </w:tc>
            </w:tr>
          </w:tbl>
          <w:p>
            <w:pPr/>
            <w:r>
              <w:rPr/>
              <w:t xml:space="preserve"> </w:t>
            </w:r>
          </w:p>
          <w:p>
            <w:pPr/>
            <w:r>
              <w:rPr/>
              <w:t xml:space="preserve">Located in the Dehkanabad district of the Kashkadarya region, JSC "Dehkanabad Potash Plant" is the only large enterprise producing potassium chloride mineral fertilizer, and it was established in 2010 on the basis of the Tepakutan deposit.</w:t>
            </w:r>
          </w:p>
          <w:p>
            <w:pPr/>
            <w:r>
              <w:rPr/>
              <w:t xml:space="preserve">On August 28, 2010, the enterprise produced its first batch of potassium chloride mineral fertilizer, which was sold for the first time on the local market of our republic.</w:t>
            </w:r>
          </w:p>
          <w:p>
            <w:pPr/>
            <w:r>
              <w:rPr/>
              <w:t xml:space="preserve">Today, the enterprise fully supplies its products to the main consumers of potash fertilizers — farms, clusters, and private entrepreneurs. On Uzbekistan’s local market, our enterprise delivers its products to customers through the JSC “O'zRTXB” exchange trading platform.</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https://new.uzkimyosanoat.uz/en/company/enterprise/manufacture/dekhkanabad-kaliy-zavod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