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January 15, 2013</w:t>
      </w:r>
    </w:p>
    <w:p w14:paraId="65A7E376" w14:textId="29A957ED" w:rsidR="004D4932" w:rsidRPr="00A048F3" w:rsidRDefault="00A048F3" w:rsidP="00AD52D5">
      <w:pPr>
        <w:rPr>
          <w:b/>
          <w:sz w:val="32"/>
          <w:szCs w:val="28"/>
          <w:lang w:val="en-US"/>
        </w:rPr>
      </w:pPr>
      <w:bookmarkStart w:id="0" w:name="_GoBack"/>
      <w:r>
        <w:rPr>
          <w:b/>
          <w:sz w:val="32"/>
          <w:szCs w:val="28"/>
          <w:lang w:val="en-US"/>
        </w:rPr>
        <w:t>OJSC «Ammofos-Maxam»</w:t>
      </w:r>
    </w:p>
    <w:bookmarkEnd w:id="0"/>
    <w:p w14:paraId="522BF26F" w14:textId="3F0F523B" w:rsidR="00A048F3" w:rsidRDefault="00A048F3">
      <w:pPr>
        <w:rPr>
          <w:sz w:val="28"/>
          <w:szCs w:val="28"/>
          <w:lang w:val="ru-RU"/>
        </w:rPr>
      </w:pPr>
    </w:p>
    <w:tbl>
      <w:tblGrid>
        <w:gridCol/>
      </w:tblGrid>
      <w:tr>
        <w:trPr/>
        <w:tc>
          <w:tcPr>
            <w:noWrap/>
          </w:tcPr>
          <w:p>
            <w:pPr>
              <w:pStyle w:val="Heading4"/>
            </w:pPr>
            <w:r>
              <w:rPr/>
              <w:t xml:space="preserve">Umarov Iskandar Gayratovich</w:t>
            </w:r>
          </w:p>
          <w:p>
            <w:pPr>
              <w:pStyle w:val="Heading6"/>
            </w:pPr>
            <w:r>
              <w:rPr/>
              <w:t xml:space="preserve">Chairman of the Board of JSC "Ammofos-Maxam"</w:t>
            </w:r>
          </w:p>
          <w:p>
            <w:pPr/>
            <w:hyperlink r:id="rId7" w:history="1">
              <w:r>
                <w:rPr/>
                <w:t xml:space="preserve"/>
              </w:r>
            </w:hyperlink>
            <w:r>
              <w:rPr/>
              <w:t xml:space="preserve"> </w:t>
            </w:r>
            <w:hyperlink r:id="rId8" w:history="1">
              <w:r>
                <w:rPr/>
                <w:t xml:space="preserve"/>
              </w:r>
            </w:hyperlink>
            <w:r>
              <w:rPr/>
              <w:t xml:space="preserve"> </w:t>
            </w:r>
            <w:hyperlink r:id="rId9" w:history="1">
              <w:r>
                <w:rPr/>
                <w:t xml:space="preserve"/>
              </w:r>
            </w:hyperlink>
            <w:r>
              <w:rPr/>
              <w:t xml:space="preserve"> </w:t>
            </w:r>
            <w:hyperlink r:id="rId10" w:history="1">
              <w:r>
                <w:rPr/>
                <w:t xml:space="preserve"/>
              </w:r>
            </w:hyperlink>
            <w:r>
              <w:rPr/>
              <w:t xml:space="preserve"> </w:t>
            </w:r>
            <w:hyperlink r:id="rId11" w:history="1">
              <w:r>
                <w:rPr/>
                <w:t xml:space="preserve"/>
              </w:r>
            </w:hyperlink>
          </w:p>
          <w:p>
            <w:pPr/>
            <w:r>
              <w:rPr>
                <w:b w:val="1"/>
                <w:bCs w:val="1"/>
              </w:rPr>
              <w:t xml:space="preserve">Chancellery:</w:t>
            </w:r>
            <w:r>
              <w:rPr/>
              <w:t xml:space="preserve"> </w:t>
            </w:r>
            <w:hyperlink r:id="rId12" w:history="1">
              <w:r>
                <w:rPr/>
                <w:t xml:space="preserve">+998781504141</w:t>
              </w:r>
            </w:hyperlink>
          </w:p>
          <w:p>
            <w:pPr/>
            <w:r>
              <w:rPr>
                <w:b w:val="1"/>
                <w:bCs w:val="1"/>
              </w:rPr>
              <w:t xml:space="preserve">Reception:</w:t>
            </w:r>
            <w:r>
              <w:rPr/>
              <w:t xml:space="preserve"> </w:t>
            </w:r>
            <w:hyperlink r:id="rId13" w:history="1">
              <w:r>
                <w:rPr/>
                <w:t xml:space="preserve">+998781505814</w:t>
              </w:r>
            </w:hyperlink>
          </w:p>
          <w:p>
            <w:pPr/>
            <w:r>
              <w:rPr>
                <w:b w:val="1"/>
                <w:bCs w:val="1"/>
              </w:rPr>
              <w:t xml:space="preserve">Press service:</w:t>
            </w:r>
            <w:r>
              <w:rPr/>
              <w:t xml:space="preserve"> </w:t>
            </w:r>
            <w:hyperlink r:id="rId14" w:history="1">
              <w:r>
                <w:rPr/>
                <w:t xml:space="preserve">+998792292403</w:t>
              </w:r>
            </w:hyperlink>
          </w:p>
          <w:p>
            <w:pPr/>
            <w:r>
              <w:rPr>
                <w:b w:val="1"/>
                <w:bCs w:val="1"/>
              </w:rPr>
              <w:t xml:space="preserve">Helpline:</w:t>
            </w:r>
            <w:r>
              <w:rPr/>
              <w:t xml:space="preserve"> </w:t>
            </w:r>
            <w:hyperlink r:id="rId15" w:history="1">
              <w:r>
                <w:rPr/>
                <w:t xml:space="preserve">+998792244111</w:t>
              </w:r>
            </w:hyperlink>
          </w:p>
          <w:p>
            <w:pPr/>
            <w:r>
              <w:rPr>
                <w:b w:val="1"/>
                <w:bCs w:val="1"/>
              </w:rPr>
              <w:t xml:space="preserve">E-mail:</w:t>
            </w:r>
            <w:r>
              <w:rPr/>
              <w:t xml:space="preserve"> </w:t>
            </w:r>
            <w:hyperlink r:id="rId16" w:history="1">
              <w:r>
                <w:rPr/>
                <w:t xml:space="preserve">info@ammofos-maxam.uz</w:t>
              </w:r>
            </w:hyperlink>
          </w:p>
          <w:p>
            <w:pPr/>
            <w:r>
              <w:rPr>
                <w:b w:val="1"/>
                <w:bCs w:val="1"/>
              </w:rPr>
              <w:t xml:space="preserve">EXAT e-mail:</w:t>
            </w:r>
            <w:r>
              <w:rPr/>
              <w:t xml:space="preserve"> </w:t>
            </w:r>
            <w:hyperlink r:id="rId17" w:history="1">
              <w:r>
                <w:rPr/>
                <w:t xml:space="preserve">ammofos-maxam@exat.uz</w:t>
              </w:r>
            </w:hyperlink>
          </w:p>
          <w:p>
            <w:pPr/>
            <w:r>
              <w:rPr>
                <w:b w:val="1"/>
                <w:bCs w:val="1"/>
              </w:rPr>
              <w:t xml:space="preserve">Address:</w:t>
            </w:r>
            <w:r>
              <w:rPr/>
              <w:t xml:space="preserve"> </w:t>
            </w:r>
            <w:hyperlink r:id="rId18" w:history="1">
              <w:r>
                <w:rPr/>
                <w:t xml:space="preserve"> </w:t>
              </w:r>
            </w:hyperlink>
            <w:r>
              <w:rPr/>
              <w:t xml:space="preserve">110100. Republic of Uzbekistan, Tashkent region, Almalik</w:t>
            </w:r>
          </w:p>
          <w:p>
            <w:pPr/>
            <w:r>
              <w:rPr/>
              <w:t xml:space="preserve"> </w:t>
            </w:r>
          </w:p>
          <w:p>
            <w:pPr/>
            <w:r>
              <w:rPr/>
              <w:t xml:space="preserve"> </w:t>
            </w:r>
          </w:p>
          <w:p>
            <w:pPr/>
            <w:r>
              <w:rPr/>
              <w:t xml:space="preserve"> </w:t>
            </w:r>
          </w:p>
          <w:p>
            <w:pPr/>
            <w:r>
              <w:rPr/>
              <w:t xml:space="preserve"> </w:t>
            </w:r>
          </w:p>
          <w:p>
            <w:pPr/>
            <w:r>
              <w:rPr/>
              <w:t xml:space="preserve"> </w:t>
            </w:r>
          </w:p>
          <w:tbl>
            <w:tblGrid>
              <w:gridCol/>
              <w:gridCol/>
            </w:tblGrid>
            <w:tblPr>
              <w:tblW w:w="0" w:type="auto"/>
              <w:tblLayout w:type="autofit"/>
            </w:tblPr>
            <w:tr>
              <w:trPr/>
              <w:tc>
                <w:tcPr>
                  <w:gridSpan w:val="2"/>
                  <w:noWrap/>
                </w:tcPr>
                <w:p>
                  <w:pPr/>
                  <w:r>
                    <w:rPr>
                      <w:b w:val="0"/>
                      <w:bCs w:val="0"/>
                    </w:rPr>
                    <w:t xml:space="preserve">Shortly about enterprise</w:t>
                  </w:r>
                </w:p>
              </w:tc>
            </w:tr>
            <w:tr>
              <w:trPr/>
              <w:tc>
                <w:tcPr>
                  <w:noWrap/>
                </w:tcPr>
                <w:p>
                  <w:pPr/>
                  <w:r>
                    <w:rPr/>
                    <w:t xml:space="preserve">Post address</w:t>
                  </w:r>
                </w:p>
              </w:tc>
              <w:tc>
                <w:tcPr>
                  <w:noWrap/>
                </w:tcPr>
                <w:p>
                  <w:pPr/>
                  <w:r>
                    <w:rPr/>
                    <w:t xml:space="preserve">110100. Republic of Uzbekistan, Tashkent region, Almalik</w:t>
                  </w:r>
                </w:p>
              </w:tc>
            </w:tr>
            <w:tr>
              <w:trPr/>
              <w:tc>
                <w:tcPr>
                  <w:noWrap/>
                </w:tcPr>
                <w:p>
                  <w:pPr/>
                  <w:r>
                    <w:rPr/>
                    <w:t xml:space="preserve">Head of the enterprise</w:t>
                  </w:r>
                </w:p>
              </w:tc>
              <w:tc>
                <w:tcPr>
                  <w:noWrap/>
                </w:tcPr>
                <w:p>
                  <w:pPr/>
                  <w:r>
                    <w:rPr/>
                    <w:t xml:space="preserve">			</w:t>
                  </w:r>
                  <w:r>
                    <w:rPr/>
                    <w:t xml:space="preserve">Umarov Iskandar Gayratovich</w:t>
                  </w:r>
                  <w:r>
                    <w:rPr/>
                    <w:t xml:space="preserve">			</w:t>
                  </w:r>
                </w:p>
              </w:tc>
            </w:tr>
            <w:tr>
              <w:trPr/>
              <w:tc>
                <w:tcPr>
                  <w:noWrap/>
                </w:tcPr>
                <w:p>
                  <w:pPr/>
                  <w:r>
                    <w:rPr/>
                    <w:t xml:space="preserve">Phone</w:t>
                  </w:r>
                  <w:br/>
                  <w:r>
                    <w:rPr/>
                    <w:t xml:space="preserve">			fax</w:t>
                  </w:r>
                </w:p>
              </w:tc>
              <w:tc>
                <w:tcPr>
                  <w:noWrap/>
                </w:tcPr>
                <w:p>
                  <w:pPr/>
                  <w:r>
                    <w:rPr/>
                    <w:t xml:space="preserve">+998 (78) 150 41 41</w:t>
                  </w:r>
                  <w:br/>
                  <w:r>
                    <w:rPr/>
                    <w:t xml:space="preserve">			+998 (78) 150 58 14</w:t>
                  </w:r>
                </w:p>
              </w:tc>
            </w:tr>
            <w:tr>
              <w:trPr/>
              <w:tc>
                <w:tcPr>
                  <w:noWrap/>
                </w:tcPr>
                <w:p>
                  <w:pPr/>
                  <w:r>
                    <w:rPr/>
                    <w:t xml:space="preserve">Website</w:t>
                  </w:r>
                </w:p>
              </w:tc>
              <w:tc>
                <w:tcPr>
                  <w:noWrap/>
                </w:tcPr>
                <w:p>
                  <w:pPr/>
                  <w:hyperlink r:id="rId19" w:history="1">
                    <w:r>
                      <w:rPr/>
                      <w:t xml:space="preserve">www.ammofos-maxam.uz</w:t>
                    </w:r>
                  </w:hyperlink>
                </w:p>
              </w:tc>
            </w:tr>
            <w:tr>
              <w:trPr/>
              <w:tc>
                <w:tcPr>
                  <w:noWrap/>
                </w:tcPr>
                <w:p>
                  <w:pPr/>
                  <w:r>
                    <w:rPr/>
                    <w:t xml:space="preserve">E-mail</w:t>
                  </w:r>
                </w:p>
              </w:tc>
              <w:tc>
                <w:tcPr>
                  <w:noWrap/>
                </w:tcPr>
                <w:p>
                  <w:pPr/>
                  <w:hyperlink r:id="rId16" w:history="1">
                    <w:r>
                      <w:rPr/>
                      <w:t xml:space="preserve">info@ammofos-maxam.uz</w:t>
                    </w:r>
                  </w:hyperlink>
                </w:p>
              </w:tc>
            </w:tr>
            <w:tr>
              <w:trPr/>
              <w:tc>
                <w:tcPr>
                  <w:noWrap/>
                </w:tcPr>
                <w:p>
                  <w:pPr/>
                  <w:r>
                    <w:rPr/>
                    <w:t xml:space="preserve">Segment</w:t>
                  </w:r>
                </w:p>
              </w:tc>
              <w:tc>
                <w:tcPr>
                  <w:noWrap/>
                </w:tcPr>
                <w:p>
                  <w:pPr/>
                  <w:r>
                    <w:rPr/>
                    <w:t xml:space="preserve">Chemical industry</w:t>
                  </w:r>
                </w:p>
              </w:tc>
            </w:tr>
            <w:tr>
              <w:trPr/>
              <w:tc>
                <w:tcPr>
                  <w:noWrap/>
                </w:tcPr>
                <w:p>
                  <w:pPr/>
                  <w:r>
                    <w:rPr/>
                    <w:t xml:space="preserve">Legal status</w:t>
                  </w:r>
                </w:p>
              </w:tc>
              <w:tc>
                <w:tcPr>
                  <w:noWrap/>
                </w:tcPr>
                <w:p>
                  <w:pPr/>
                  <w:r>
                    <w:rPr/>
                    <w:t xml:space="preserve">Open Joint Stock Company</w:t>
                  </w:r>
                </w:p>
              </w:tc>
            </w:tr>
            <w:tr>
              <w:trPr/>
              <w:tc>
                <w:tcPr>
                  <w:noWrap/>
                </w:tcPr>
                <w:p>
                  <w:pPr/>
                  <w:r>
                    <w:rPr/>
                    <w:t xml:space="preserve">Count of employees</w:t>
                  </w:r>
                </w:p>
              </w:tc>
              <w:tc>
                <w:tcPr>
                  <w:noWrap/>
                </w:tcPr>
                <w:p>
                  <w:pPr/>
                  <w:r>
                    <w:rPr/>
                    <w:t xml:space="preserve">2 945</w:t>
                  </w:r>
                </w:p>
              </w:tc>
            </w:tr>
            <w:tr>
              <w:trPr/>
              <w:tc>
                <w:tcPr>
                  <w:gridSpan w:val="2"/>
                  <w:noWrap/>
                </w:tcPr>
                <w:p>
                  <w:pPr/>
                  <w:r>
                    <w:rPr>
                      <w:b w:val="0"/>
                      <w:bCs w:val="0"/>
                    </w:rPr>
                    <w:t xml:space="preserve">Marketing Information</w:t>
                  </w:r>
                </w:p>
              </w:tc>
            </w:tr>
            <w:tr>
              <w:trPr/>
              <w:tc>
                <w:tcPr>
                  <w:noWrap/>
                </w:tcPr>
                <w:p>
                  <w:pPr/>
                  <w:r>
                    <w:rPr/>
                    <w:t xml:space="preserve">The main types of products and services of the enterprise (organization)</w:t>
                  </w:r>
                </w:p>
              </w:tc>
              <w:tc>
                <w:tcPr>
                  <w:noWrap/>
                </w:tcPr>
                <w:p>
                  <w:pPr/>
                  <w:r>
                    <w:rPr/>
                    <w:t xml:space="preserve">Ammofos, ammonium sulfate, phosphate, suprefos, ammonium sulphate, fiberboard, electrolyte, sulfuric acid, fodder phosphate of ammonium (for use only in cattle breeding, poultry farming and fish culture), threesodiumphosphate and other</w:t>
                  </w:r>
                </w:p>
              </w:tc>
            </w:tr>
            <w:tr>
              <w:trPr/>
              <w:tc>
                <w:tcPr>
                  <w:noWrap/>
                </w:tcPr>
                <w:p>
                  <w:pPr/>
                  <w:r>
                    <w:rPr/>
                    <w:t xml:space="preserve">The basic raw materials required for production</w:t>
                  </w:r>
                </w:p>
              </w:tc>
              <w:tc>
                <w:tcPr>
                  <w:noWrap/>
                </w:tcPr>
                <w:p>
                  <w:pPr/>
                  <w:r>
                    <w:rPr/>
                    <w:t xml:space="preserve">Fosmuka, sulfur, ammonia</w:t>
                  </w:r>
                </w:p>
              </w:tc>
            </w:tr>
            <w:tr>
              <w:trPr/>
              <w:tc>
                <w:tcPr>
                  <w:noWrap/>
                </w:tcPr>
                <w:p>
                  <w:pPr/>
                  <w:r>
                    <w:rPr/>
                    <w:t xml:space="preserve">The main local consumers</w:t>
                  </w:r>
                </w:p>
              </w:tc>
              <w:tc>
                <w:tcPr>
                  <w:noWrap/>
                </w:tcPr>
                <w:p>
                  <w:pPr/>
                  <w:r>
                    <w:rPr/>
                    <w:t xml:space="preserve">Agriculture, the chemical industry and other industries</w:t>
                  </w:r>
                </w:p>
              </w:tc>
            </w:tr>
            <w:tr>
              <w:trPr/>
              <w:tc>
                <w:tcPr>
                  <w:noWrap/>
                </w:tcPr>
                <w:p>
                  <w:pPr/>
                  <w:r>
                    <w:rPr/>
                    <w:t xml:space="preserve">The main importers of products</w:t>
                  </w:r>
                </w:p>
              </w:tc>
              <w:tc>
                <w:tcPr>
                  <w:noWrap/>
                </w:tcPr>
                <w:p>
                  <w:pPr/>
                  <w:r>
                    <w:rPr/>
                    <w:t xml:space="preserve">Tajikistan, Afghanistan, China</w:t>
                  </w:r>
                </w:p>
              </w:tc>
            </w:tr>
          </w:tbl>
          <w:p>
            <w:pPr/>
            <w:r>
              <w:rPr/>
              <w:t xml:space="preserve"> </w:t>
            </w:r>
          </w:p>
          <w:p>
            <w:pPr>
              <w:jc w:val="both"/>
            </w:pPr>
            <w:r>
              <w:rPr/>
              <w:t xml:space="preserve">"Ammofos-Maxam" JSC is one of the largest enterprises in the Republic of Uzbekistan producing complex nitrogen-phosphorus mineral fertilizers from the phosphorites of the Kyzylkum. The company is part of the “Uzkimyosanoat” Joint Stock Company and is recognized as one of the leading manufacturers in the country’s chemical industry. The production site is located in the city of Almalyk. The total area of the enterprise covers 522.5 hectares. The geographical location of “Ammofos-Maxam” JSC and its favorable transport infrastructure ensure efficient and competitive production. The company’s products are in demand not only in Uzbekistan, but also in international markets, making a significant contribution to the development of agriculture and the chemical industry in the country.</w:t>
            </w:r>
            <w:br/>
            <w:r>
              <w:rPr/>
              <w:t xml:space="preserve">On December 18, 1969, the first phase of the production of extraction phosphoric acid (EPA) and ammophos was launched. For the first time in global practice, a technology for producing granulated ammophos from Karatau phosphorites containing 24.5% phosphorus anhydride (P₂O₅) was mastered. The second phase was commissioned in 1973, followed by the third phase in 1978. In 1980, reconstruction work was carried out in the second production line of the plant.</w:t>
            </w:r>
            <w:br/>
            <w:r>
              <w:rPr/>
              <w:t xml:space="preserve">In February 1992, Almalyk Chemical Plant was reorganized into the Almalyk “Ammofos” Production Association, and in August 2001, it was transformed into an Open Joint Stock Company – “Ammofos” OJSC. In 2008, the foreign company MAXAM International S.L.U. acquired 49% of the company's shares. As a result, the company was renamed “Ammofos-Maxam” OJSC, becoming the legal successor of “Ammofos” OJSC. This change was officially registered with the Justice Department of the Tashkent Regional Administration, as confirmed by Certificate No. 322 dated February 19, 2009. In 2014, “Ammofos-Maxam” OJSC was renamed to “Ammofos-Maxam” JSC. The re-registration was carried out by the Tashkent Regional Justice Department, with Certificate No. 159 issued on October 22, 2014.</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https://new.uzkimyosanoat.uz/en/company/enterprise/manufacture/ammofos-maxam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