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July 22,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Department for working with international financial institutions, credit and ESG ratings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	</w:t>
            </w:r>
          </w:p>
          <w:p>
            <w:pPr>
              <w:pStyle w:val="Heading4"/>
            </w:pPr>
            <w:r>
              <w:rPr/>
              <w:t xml:space="preserve">Vakant</w:t>
            </w:r>
          </w:p>
          <w:p>
            <w:pPr>
              <w:pStyle w:val="Heading5"/>
            </w:pPr>
            <w:r>
              <w:rPr/>
              <w:t xml:space="preserve">Head of the Department for working with international financial institutions, credit and ESG ratings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Phone:</w:t>
            </w:r>
            <w:r>
              <w:rPr/>
              <w:t xml:space="preserve"> </w:t>
            </w:r>
            <w:hyperlink r:id="rId7" w:history="1">
              <w:r>
                <w:rPr/>
                <w:t xml:space="preserve"/>
              </w:r>
            </w:hyperlink>
          </w:p>
          <w:p>
            <w:pPr/>
            <w:r>
              <w:rPr>
                <w:b w:val="1"/>
                <w:bCs w:val="1"/>
              </w:rPr>
              <w:t xml:space="preserve">Email:</w:t>
            </w:r>
            <w:r>
              <w:rPr/>
              <w:t xml:space="preserve"> </w:t>
            </w:r>
            <w:hyperlink r:id="rId8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    </w:t>
            </w:r>
            <w:hyperlink r:id="rId9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0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1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2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3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https://new.uzkimyosanoat.uz/en/company/department/xalqaro-moliya-institutlari-kredit-hamda-esg-reytinglari-bilan-ishlash-bolimi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